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E80E" w14:textId="77777777" w:rsidR="00CA281D" w:rsidRDefault="00CA281D">
      <w:pPr>
        <w:rPr>
          <w:rFonts w:ascii="Arial" w:hAnsi="Arial" w:cs="Arial"/>
          <w:sz w:val="22"/>
          <w:szCs w:val="22"/>
        </w:rPr>
      </w:pPr>
    </w:p>
    <w:p w14:paraId="7B9001A6" w14:textId="77777777" w:rsidR="00BB6437" w:rsidRPr="00C217FC" w:rsidRDefault="00BB6437">
      <w:pPr>
        <w:rPr>
          <w:rFonts w:ascii="Arial" w:hAnsi="Arial" w:cs="Arial"/>
          <w:sz w:val="22"/>
          <w:szCs w:val="22"/>
        </w:rPr>
      </w:pPr>
    </w:p>
    <w:p w14:paraId="20CC1AC9" w14:textId="77777777" w:rsidR="00CA281D" w:rsidRPr="00C217FC" w:rsidRDefault="00CA281D">
      <w:pPr>
        <w:rPr>
          <w:rFonts w:ascii="Arial" w:hAnsi="Arial" w:cs="Arial"/>
          <w:sz w:val="22"/>
          <w:szCs w:val="22"/>
        </w:rPr>
      </w:pPr>
    </w:p>
    <w:p w14:paraId="512C4AC0" w14:textId="77777777" w:rsidR="00CA281D" w:rsidRPr="00C217FC" w:rsidRDefault="00CA281D">
      <w:pPr>
        <w:rPr>
          <w:rFonts w:ascii="Arial" w:hAnsi="Arial" w:cs="Arial"/>
          <w:sz w:val="22"/>
          <w:szCs w:val="22"/>
        </w:rPr>
      </w:pPr>
    </w:p>
    <w:p w14:paraId="2B3C9303" w14:textId="77777777" w:rsidR="00CA281D" w:rsidRPr="00C217FC" w:rsidRDefault="00CA281D">
      <w:pPr>
        <w:rPr>
          <w:rFonts w:ascii="Arial" w:hAnsi="Arial" w:cs="Arial"/>
          <w:sz w:val="22"/>
          <w:szCs w:val="22"/>
        </w:rPr>
      </w:pPr>
    </w:p>
    <w:p w14:paraId="4DE0A16C" w14:textId="77777777" w:rsidR="00CA281D" w:rsidRPr="00C217FC" w:rsidRDefault="00CA281D">
      <w:pPr>
        <w:rPr>
          <w:rFonts w:ascii="Arial" w:hAnsi="Arial" w:cs="Arial"/>
          <w:sz w:val="22"/>
          <w:szCs w:val="22"/>
        </w:rPr>
      </w:pPr>
    </w:p>
    <w:p w14:paraId="3D9D8314" w14:textId="77777777" w:rsidR="00CA281D" w:rsidRPr="00C217FC" w:rsidRDefault="00CA281D">
      <w:pPr>
        <w:rPr>
          <w:rFonts w:ascii="Arial" w:hAnsi="Arial" w:cs="Arial"/>
          <w:sz w:val="22"/>
          <w:szCs w:val="22"/>
        </w:rPr>
      </w:pPr>
    </w:p>
    <w:p w14:paraId="5EBA5DBF" w14:textId="77777777" w:rsidR="00CA281D" w:rsidRPr="00C217FC" w:rsidRDefault="00CA281D">
      <w:pPr>
        <w:rPr>
          <w:rFonts w:ascii="Arial" w:hAnsi="Arial" w:cs="Arial"/>
          <w:sz w:val="22"/>
          <w:szCs w:val="22"/>
        </w:rPr>
      </w:pPr>
    </w:p>
    <w:p w14:paraId="2EAB4D2B" w14:textId="77777777" w:rsidR="00CA281D" w:rsidRPr="00C217FC" w:rsidRDefault="00CA281D">
      <w:pPr>
        <w:rPr>
          <w:rFonts w:ascii="Arial" w:hAnsi="Arial" w:cs="Arial"/>
          <w:sz w:val="22"/>
          <w:szCs w:val="22"/>
        </w:rPr>
      </w:pPr>
    </w:p>
    <w:p w14:paraId="7CBC29DB" w14:textId="77777777" w:rsidR="00CA281D" w:rsidRPr="00C217FC" w:rsidRDefault="00CA281D">
      <w:pPr>
        <w:rPr>
          <w:rFonts w:ascii="Arial" w:hAnsi="Arial" w:cs="Arial"/>
          <w:sz w:val="22"/>
          <w:szCs w:val="22"/>
        </w:rPr>
      </w:pPr>
    </w:p>
    <w:p w14:paraId="353D135E" w14:textId="1F105E29" w:rsidR="00FD3A8D" w:rsidRPr="00FD3A8D" w:rsidRDefault="00FD3A8D" w:rsidP="00FD3A8D">
      <w:pPr>
        <w:spacing w:line="360" w:lineRule="auto"/>
        <w:rPr>
          <w:rFonts w:ascii="Trebuchet MS" w:eastAsia="Calibri" w:hAnsi="Trebuchet MS"/>
          <w:b/>
        </w:rPr>
      </w:pPr>
      <w:r w:rsidRPr="00FD3A8D">
        <w:rPr>
          <w:rFonts w:ascii="Trebuchet MS" w:eastAsia="Calibri" w:hAnsi="Trebuchet MS"/>
          <w:b/>
          <w:noProof/>
          <w:lang w:eastAsia="en-GB"/>
        </w:rPr>
        <w:drawing>
          <wp:inline distT="0" distB="0" distL="0" distR="0" wp14:anchorId="2265C4D6" wp14:editId="54ECE4BF">
            <wp:extent cx="2125980" cy="1394460"/>
            <wp:effectExtent l="0" t="0" r="0" b="0"/>
            <wp:docPr id="3"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A_brand001 main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14:paraId="031CDDE3" w14:textId="4E7A469C" w:rsidR="00FD3A8D" w:rsidRPr="006C3533" w:rsidRDefault="00FD3A8D" w:rsidP="00BB3F92">
      <w:pPr>
        <w:pStyle w:val="Heading1"/>
        <w:shd w:val="clear" w:color="auto" w:fill="FFFFFF"/>
        <w:spacing w:before="0" w:after="375"/>
        <w:jc w:val="center"/>
        <w:rPr>
          <w:rFonts w:ascii="Arial" w:hAnsi="Arial" w:cs="Arial"/>
          <w:b w:val="0"/>
          <w:bCs w:val="0"/>
          <w:color w:val="FFFFFF"/>
          <w:kern w:val="36"/>
          <w:sz w:val="28"/>
          <w:szCs w:val="28"/>
          <w:lang w:eastAsia="en-GB"/>
        </w:rPr>
      </w:pPr>
      <w:r w:rsidRPr="00BB3F92">
        <w:rPr>
          <w:rFonts w:ascii="Arial" w:eastAsia="Calibri" w:hAnsi="Arial" w:cs="Arial"/>
          <w:sz w:val="28"/>
          <w:szCs w:val="28"/>
          <w:shd w:val="clear" w:color="auto" w:fill="FFFFFF"/>
        </w:rPr>
        <w:t xml:space="preserve">WTA Response to the Welsh Government </w:t>
      </w:r>
      <w:r w:rsidR="006C3533" w:rsidRPr="00BB3F92">
        <w:rPr>
          <w:rFonts w:ascii="Arial" w:hAnsi="Arial" w:cs="Arial"/>
          <w:sz w:val="28"/>
          <w:szCs w:val="28"/>
        </w:rPr>
        <w:t>Consultatio</w:t>
      </w:r>
      <w:r w:rsidR="00BB3F92">
        <w:rPr>
          <w:rFonts w:ascii="Arial" w:hAnsi="Arial" w:cs="Arial"/>
          <w:sz w:val="28"/>
          <w:szCs w:val="28"/>
        </w:rPr>
        <w:t>n</w:t>
      </w:r>
      <w:r w:rsidR="006C3533" w:rsidRPr="00BB3F92">
        <w:rPr>
          <w:rFonts w:ascii="Arial" w:hAnsi="Arial" w:cs="Arial"/>
          <w:sz w:val="28"/>
          <w:szCs w:val="28"/>
        </w:rPr>
        <w:t xml:space="preserve"> </w:t>
      </w:r>
      <w:r w:rsidR="00883466" w:rsidRPr="00BB3F92">
        <w:rPr>
          <w:rFonts w:ascii="Arial" w:hAnsi="Arial" w:cs="Arial"/>
          <w:sz w:val="28"/>
          <w:szCs w:val="28"/>
        </w:rPr>
        <w:t>‘</w:t>
      </w:r>
      <w:r w:rsidR="00BB3F92" w:rsidRPr="00BB3F92">
        <w:rPr>
          <w:rFonts w:ascii="Arial" w:hAnsi="Arial" w:cs="Arial"/>
          <w:color w:val="1F1F1F"/>
          <w:kern w:val="36"/>
          <w:sz w:val="28"/>
          <w:szCs w:val="28"/>
          <w:lang w:eastAsia="en-GB"/>
        </w:rPr>
        <w:t>Second homes: local variation to land transaction tax rates</w:t>
      </w:r>
      <w:r w:rsidR="00BB3F92">
        <w:rPr>
          <w:rFonts w:ascii="Arial" w:hAnsi="Arial" w:cs="Arial"/>
          <w:color w:val="1F1F1F"/>
          <w:kern w:val="36"/>
          <w:sz w:val="28"/>
          <w:szCs w:val="28"/>
          <w:lang w:eastAsia="en-GB"/>
        </w:rPr>
        <w:t>’</w:t>
      </w:r>
      <w:r w:rsidR="00883466">
        <w:rPr>
          <w:rFonts w:ascii="Arial" w:hAnsi="Arial" w:cs="Arial"/>
          <w:sz w:val="28"/>
          <w:szCs w:val="28"/>
        </w:rPr>
        <w:t>’</w:t>
      </w:r>
    </w:p>
    <w:p w14:paraId="6BB54A89" w14:textId="77777777" w:rsidR="00CA281D" w:rsidRPr="00C217FC" w:rsidRDefault="00CA281D" w:rsidP="00331BFE">
      <w:pPr>
        <w:pStyle w:val="Default"/>
        <w:jc w:val="center"/>
        <w:rPr>
          <w:rFonts w:eastAsia="SimSun"/>
          <w:sz w:val="22"/>
          <w:szCs w:val="22"/>
          <w:lang w:eastAsia="en-GB"/>
        </w:rPr>
      </w:pPr>
    </w:p>
    <w:p w14:paraId="24F96075" w14:textId="77777777" w:rsidR="00CA281D" w:rsidRPr="000E3060" w:rsidRDefault="00CA281D">
      <w:pPr>
        <w:jc w:val="center"/>
        <w:rPr>
          <w:rFonts w:ascii="Arial" w:hAnsi="Arial" w:cs="Arial"/>
          <w:b/>
          <w:sz w:val="22"/>
          <w:szCs w:val="22"/>
        </w:rPr>
      </w:pPr>
    </w:p>
    <w:p w14:paraId="0DF6378E" w14:textId="77777777" w:rsidR="00CA281D" w:rsidRPr="000E3060" w:rsidRDefault="00CA281D">
      <w:pPr>
        <w:jc w:val="center"/>
        <w:rPr>
          <w:rFonts w:ascii="Arial" w:hAnsi="Arial" w:cs="Arial"/>
          <w:b/>
          <w:sz w:val="22"/>
          <w:szCs w:val="22"/>
        </w:rPr>
      </w:pPr>
      <w:r w:rsidRPr="000E3060">
        <w:rPr>
          <w:rFonts w:ascii="Arial" w:hAnsi="Arial" w:cs="Arial"/>
          <w:b/>
          <w:sz w:val="22"/>
          <w:szCs w:val="22"/>
        </w:rPr>
        <w:t xml:space="preserve">Wales Tourism Alliance </w:t>
      </w:r>
    </w:p>
    <w:p w14:paraId="39BE0E44" w14:textId="77777777" w:rsidR="00CA281D" w:rsidRPr="000E3060" w:rsidRDefault="00CA281D">
      <w:pPr>
        <w:rPr>
          <w:rFonts w:ascii="Arial" w:hAnsi="Arial" w:cs="Arial"/>
          <w:sz w:val="22"/>
          <w:szCs w:val="22"/>
        </w:rPr>
      </w:pPr>
    </w:p>
    <w:p w14:paraId="4B360BB6" w14:textId="77777777" w:rsidR="00CA281D" w:rsidRPr="000E3060" w:rsidRDefault="00CA281D">
      <w:pPr>
        <w:pStyle w:val="Footer"/>
        <w:jc w:val="center"/>
        <w:rPr>
          <w:rFonts w:ascii="Arial" w:hAnsi="Arial" w:cs="Arial"/>
          <w:sz w:val="22"/>
          <w:szCs w:val="22"/>
        </w:rPr>
      </w:pPr>
      <w:r w:rsidRPr="000E3060">
        <w:rPr>
          <w:rFonts w:ascii="Arial" w:hAnsi="Arial" w:cs="Arial"/>
          <w:sz w:val="22"/>
          <w:szCs w:val="22"/>
        </w:rPr>
        <w:t>Wales Tourism Alliance Limited</w:t>
      </w:r>
    </w:p>
    <w:p w14:paraId="736C2A1E" w14:textId="77777777" w:rsidR="00CA281D" w:rsidRPr="000E3060" w:rsidRDefault="00CA281D">
      <w:pPr>
        <w:pStyle w:val="Footer"/>
        <w:jc w:val="center"/>
        <w:rPr>
          <w:rFonts w:ascii="Arial" w:hAnsi="Arial" w:cs="Arial"/>
          <w:sz w:val="22"/>
          <w:szCs w:val="22"/>
        </w:rPr>
      </w:pPr>
      <w:r w:rsidRPr="000E3060">
        <w:rPr>
          <w:rFonts w:ascii="Arial" w:hAnsi="Arial" w:cs="Arial"/>
          <w:sz w:val="22"/>
          <w:szCs w:val="22"/>
        </w:rPr>
        <w:t>77 Conwy Road,</w:t>
      </w:r>
    </w:p>
    <w:p w14:paraId="1798BB69" w14:textId="77777777" w:rsidR="00CA281D" w:rsidRPr="000E3060" w:rsidRDefault="00CA281D">
      <w:pPr>
        <w:pStyle w:val="Footer"/>
        <w:jc w:val="center"/>
        <w:rPr>
          <w:rFonts w:ascii="Arial" w:hAnsi="Arial" w:cs="Arial"/>
          <w:sz w:val="22"/>
          <w:szCs w:val="22"/>
        </w:rPr>
      </w:pPr>
      <w:r w:rsidRPr="000E3060">
        <w:rPr>
          <w:rFonts w:ascii="Arial" w:hAnsi="Arial" w:cs="Arial"/>
          <w:sz w:val="22"/>
          <w:szCs w:val="22"/>
        </w:rPr>
        <w:t>Colwyn Bay,</w:t>
      </w:r>
    </w:p>
    <w:p w14:paraId="595A5E05" w14:textId="77777777" w:rsidR="00CA281D" w:rsidRPr="000E3060" w:rsidRDefault="00CA281D">
      <w:pPr>
        <w:pStyle w:val="Footer"/>
        <w:jc w:val="center"/>
        <w:rPr>
          <w:rFonts w:ascii="Arial" w:hAnsi="Arial" w:cs="Arial"/>
          <w:sz w:val="22"/>
          <w:szCs w:val="22"/>
        </w:rPr>
      </w:pPr>
      <w:r w:rsidRPr="000E3060">
        <w:rPr>
          <w:rFonts w:ascii="Arial" w:hAnsi="Arial" w:cs="Arial"/>
          <w:sz w:val="22"/>
          <w:szCs w:val="22"/>
        </w:rPr>
        <w:t>LL29 7LN</w:t>
      </w:r>
    </w:p>
    <w:p w14:paraId="7AD5CC77" w14:textId="77777777" w:rsidR="00CA281D" w:rsidRPr="000E3060" w:rsidRDefault="00CA281D">
      <w:pPr>
        <w:rPr>
          <w:rFonts w:ascii="Arial" w:hAnsi="Arial" w:cs="Arial"/>
          <w:sz w:val="22"/>
          <w:szCs w:val="22"/>
        </w:rPr>
      </w:pPr>
    </w:p>
    <w:p w14:paraId="7711EB96" w14:textId="77777777" w:rsidR="00CA281D" w:rsidRPr="000E3060" w:rsidRDefault="00CA281D">
      <w:pPr>
        <w:rPr>
          <w:rFonts w:ascii="Arial" w:hAnsi="Arial" w:cs="Arial"/>
          <w:sz w:val="22"/>
          <w:szCs w:val="22"/>
        </w:rPr>
      </w:pPr>
    </w:p>
    <w:p w14:paraId="0587CB2A" w14:textId="77777777" w:rsidR="00CA281D" w:rsidRPr="000E3060" w:rsidRDefault="00CA281D">
      <w:pPr>
        <w:rPr>
          <w:rFonts w:ascii="Arial" w:hAnsi="Arial" w:cs="Arial"/>
          <w:sz w:val="22"/>
          <w:szCs w:val="22"/>
        </w:rPr>
      </w:pPr>
    </w:p>
    <w:p w14:paraId="4589AC80" w14:textId="77777777" w:rsidR="00CA281D" w:rsidRPr="000E3060" w:rsidRDefault="00CA281D">
      <w:pPr>
        <w:rPr>
          <w:rFonts w:ascii="Arial" w:hAnsi="Arial" w:cs="Arial"/>
          <w:sz w:val="22"/>
          <w:szCs w:val="22"/>
        </w:rPr>
      </w:pPr>
    </w:p>
    <w:p w14:paraId="4DAB84B7" w14:textId="77777777" w:rsidR="00CA281D" w:rsidRPr="000E3060" w:rsidRDefault="00CA281D" w:rsidP="002C5F92">
      <w:pPr>
        <w:pStyle w:val="Default"/>
        <w:rPr>
          <w:sz w:val="22"/>
          <w:szCs w:val="22"/>
        </w:rPr>
      </w:pPr>
    </w:p>
    <w:p w14:paraId="480F2EA1" w14:textId="77777777" w:rsidR="00CA281D" w:rsidRPr="000E3060" w:rsidRDefault="00CA281D">
      <w:pPr>
        <w:rPr>
          <w:rFonts w:ascii="Arial" w:hAnsi="Arial" w:cs="Arial"/>
          <w:sz w:val="22"/>
          <w:szCs w:val="22"/>
        </w:rPr>
      </w:pPr>
    </w:p>
    <w:p w14:paraId="097CC1A4" w14:textId="77777777" w:rsidR="00CA281D" w:rsidRPr="000E3060" w:rsidRDefault="00CA281D">
      <w:pPr>
        <w:rPr>
          <w:rFonts w:ascii="Arial" w:hAnsi="Arial" w:cs="Arial"/>
          <w:sz w:val="22"/>
          <w:szCs w:val="22"/>
        </w:rPr>
      </w:pPr>
    </w:p>
    <w:p w14:paraId="121D5A51" w14:textId="77777777" w:rsidR="00CA281D" w:rsidRPr="000E3060" w:rsidRDefault="00CA281D">
      <w:pPr>
        <w:rPr>
          <w:rFonts w:ascii="Arial" w:hAnsi="Arial" w:cs="Arial"/>
          <w:sz w:val="22"/>
          <w:szCs w:val="22"/>
        </w:rPr>
      </w:pPr>
    </w:p>
    <w:p w14:paraId="0B1E8F93" w14:textId="77777777" w:rsidR="00CA281D" w:rsidRPr="000E3060" w:rsidRDefault="00CA281D">
      <w:pPr>
        <w:rPr>
          <w:rFonts w:ascii="Arial" w:hAnsi="Arial" w:cs="Arial"/>
          <w:sz w:val="22"/>
          <w:szCs w:val="22"/>
        </w:rPr>
      </w:pPr>
    </w:p>
    <w:p w14:paraId="2E76AC15" w14:textId="77777777" w:rsidR="00CA281D" w:rsidRPr="000E3060" w:rsidRDefault="00CA281D">
      <w:pPr>
        <w:rPr>
          <w:rFonts w:ascii="Arial" w:hAnsi="Arial" w:cs="Arial"/>
          <w:sz w:val="22"/>
          <w:szCs w:val="22"/>
        </w:rPr>
      </w:pPr>
    </w:p>
    <w:p w14:paraId="19B46584" w14:textId="77777777" w:rsidR="00CA281D" w:rsidRPr="000E3060" w:rsidRDefault="00CA281D">
      <w:pPr>
        <w:rPr>
          <w:rFonts w:ascii="Arial" w:hAnsi="Arial" w:cs="Arial"/>
          <w:sz w:val="22"/>
          <w:szCs w:val="22"/>
        </w:rPr>
      </w:pPr>
    </w:p>
    <w:p w14:paraId="38A74229" w14:textId="77777777" w:rsidR="00CA281D" w:rsidRPr="000E3060" w:rsidRDefault="00CA281D">
      <w:pPr>
        <w:rPr>
          <w:rFonts w:ascii="Arial" w:hAnsi="Arial" w:cs="Arial"/>
          <w:sz w:val="22"/>
          <w:szCs w:val="22"/>
        </w:rPr>
      </w:pPr>
    </w:p>
    <w:p w14:paraId="03A1E422" w14:textId="77777777" w:rsidR="00CA281D" w:rsidRPr="000E3060" w:rsidRDefault="00CA281D">
      <w:pPr>
        <w:rPr>
          <w:rFonts w:ascii="Arial" w:hAnsi="Arial" w:cs="Arial"/>
          <w:sz w:val="22"/>
          <w:szCs w:val="22"/>
        </w:rPr>
      </w:pPr>
    </w:p>
    <w:p w14:paraId="74B99988" w14:textId="77777777" w:rsidR="00CA281D" w:rsidRPr="000E3060" w:rsidRDefault="00CA281D">
      <w:pPr>
        <w:rPr>
          <w:rFonts w:ascii="Arial" w:hAnsi="Arial" w:cs="Arial"/>
          <w:sz w:val="22"/>
          <w:szCs w:val="22"/>
        </w:rPr>
      </w:pPr>
      <w:r w:rsidRPr="000E3060">
        <w:rPr>
          <w:rFonts w:ascii="Arial" w:hAnsi="Arial" w:cs="Arial"/>
          <w:sz w:val="22"/>
          <w:szCs w:val="22"/>
        </w:rPr>
        <w:t>Company No: 4449548</w:t>
      </w:r>
    </w:p>
    <w:p w14:paraId="0F43E48E" w14:textId="77777777" w:rsidR="00C217FC" w:rsidRPr="000E3060" w:rsidRDefault="00C217FC">
      <w:pPr>
        <w:rPr>
          <w:rFonts w:ascii="Arial" w:hAnsi="Arial" w:cs="Arial"/>
          <w:sz w:val="22"/>
          <w:szCs w:val="22"/>
        </w:rPr>
      </w:pPr>
    </w:p>
    <w:p w14:paraId="3AA3CFA9" w14:textId="77777777" w:rsidR="00C217FC" w:rsidRPr="000E3060" w:rsidRDefault="00C217FC">
      <w:pPr>
        <w:rPr>
          <w:rFonts w:ascii="Arial" w:hAnsi="Arial" w:cs="Arial"/>
          <w:sz w:val="22"/>
          <w:szCs w:val="22"/>
        </w:rPr>
      </w:pPr>
    </w:p>
    <w:p w14:paraId="39626973" w14:textId="77777777" w:rsidR="00C217FC" w:rsidRPr="000E3060" w:rsidRDefault="00C217FC">
      <w:pPr>
        <w:rPr>
          <w:rFonts w:ascii="Arial" w:hAnsi="Arial" w:cs="Arial"/>
          <w:sz w:val="22"/>
          <w:szCs w:val="22"/>
        </w:rPr>
      </w:pPr>
    </w:p>
    <w:p w14:paraId="0F743F91" w14:textId="77777777" w:rsidR="00CA281D" w:rsidRPr="000E3060" w:rsidRDefault="00CA281D">
      <w:pPr>
        <w:rPr>
          <w:rFonts w:ascii="Arial" w:hAnsi="Arial" w:cs="Arial"/>
          <w:sz w:val="22"/>
          <w:szCs w:val="22"/>
        </w:rPr>
      </w:pPr>
    </w:p>
    <w:p w14:paraId="79B74888" w14:textId="77777777" w:rsidR="00C217FC" w:rsidRPr="000E3060" w:rsidRDefault="00C217FC">
      <w:pPr>
        <w:rPr>
          <w:rFonts w:ascii="Arial" w:hAnsi="Arial" w:cs="Arial"/>
          <w:sz w:val="22"/>
          <w:szCs w:val="22"/>
        </w:rPr>
      </w:pPr>
    </w:p>
    <w:p w14:paraId="076685B7" w14:textId="77777777" w:rsidR="00C217FC" w:rsidRPr="000E3060" w:rsidRDefault="00C217FC">
      <w:pPr>
        <w:rPr>
          <w:rFonts w:ascii="Arial" w:hAnsi="Arial" w:cs="Arial"/>
          <w:sz w:val="22"/>
          <w:szCs w:val="22"/>
        </w:rPr>
      </w:pPr>
    </w:p>
    <w:p w14:paraId="03247E26" w14:textId="77777777" w:rsidR="00C217FC" w:rsidRPr="000E3060" w:rsidRDefault="00C217FC">
      <w:pPr>
        <w:rPr>
          <w:rFonts w:ascii="Arial" w:hAnsi="Arial" w:cs="Arial"/>
          <w:sz w:val="22"/>
          <w:szCs w:val="22"/>
        </w:rPr>
      </w:pPr>
    </w:p>
    <w:p w14:paraId="2A0821EB" w14:textId="77777777" w:rsidR="00C217FC" w:rsidRPr="000E3060" w:rsidRDefault="00C217FC">
      <w:pPr>
        <w:rPr>
          <w:rFonts w:ascii="Arial" w:hAnsi="Arial" w:cs="Arial"/>
          <w:sz w:val="22"/>
          <w:szCs w:val="22"/>
        </w:rPr>
      </w:pPr>
    </w:p>
    <w:p w14:paraId="1509EB00" w14:textId="77777777" w:rsidR="00CA281D" w:rsidRPr="000E3060" w:rsidRDefault="00CA281D">
      <w:pPr>
        <w:jc w:val="right"/>
        <w:rPr>
          <w:rFonts w:ascii="Arial" w:hAnsi="Arial" w:cs="Arial"/>
          <w:sz w:val="22"/>
          <w:szCs w:val="22"/>
        </w:rPr>
      </w:pPr>
      <w:r w:rsidRPr="000E3060">
        <w:rPr>
          <w:rFonts w:ascii="Arial" w:hAnsi="Arial" w:cs="Arial"/>
          <w:sz w:val="22"/>
          <w:szCs w:val="22"/>
        </w:rPr>
        <w:tab/>
      </w:r>
      <w:r w:rsidRPr="000E3060">
        <w:rPr>
          <w:rFonts w:ascii="Arial" w:hAnsi="Arial" w:cs="Arial"/>
          <w:sz w:val="22"/>
          <w:szCs w:val="22"/>
        </w:rPr>
        <w:tab/>
      </w:r>
      <w:r w:rsidRPr="000E3060">
        <w:rPr>
          <w:rFonts w:ascii="Arial" w:hAnsi="Arial" w:cs="Arial"/>
          <w:sz w:val="22"/>
          <w:szCs w:val="22"/>
        </w:rPr>
        <w:tab/>
      </w:r>
      <w:r w:rsidRPr="000E3060">
        <w:rPr>
          <w:rFonts w:ascii="Arial" w:hAnsi="Arial" w:cs="Arial"/>
          <w:sz w:val="22"/>
          <w:szCs w:val="22"/>
        </w:rPr>
        <w:tab/>
      </w:r>
      <w:r w:rsidRPr="000E3060">
        <w:rPr>
          <w:rFonts w:ascii="Arial" w:hAnsi="Arial" w:cs="Arial"/>
          <w:sz w:val="22"/>
          <w:szCs w:val="22"/>
        </w:rPr>
        <w:tab/>
      </w:r>
    </w:p>
    <w:p w14:paraId="38891313" w14:textId="77777777" w:rsidR="00CA281D" w:rsidRPr="000E3060" w:rsidRDefault="00CA281D">
      <w:pPr>
        <w:rPr>
          <w:rFonts w:ascii="Arial" w:hAnsi="Arial" w:cs="Arial"/>
          <w:b/>
          <w:sz w:val="22"/>
          <w:szCs w:val="22"/>
        </w:rPr>
      </w:pPr>
    </w:p>
    <w:p w14:paraId="7DADA2F4" w14:textId="77777777" w:rsidR="00CA281D" w:rsidRPr="000E3060" w:rsidRDefault="00CA281D">
      <w:pPr>
        <w:rPr>
          <w:rFonts w:ascii="Arial" w:hAnsi="Arial" w:cs="Arial"/>
          <w:b/>
          <w:sz w:val="22"/>
          <w:szCs w:val="22"/>
        </w:rPr>
      </w:pPr>
    </w:p>
    <w:p w14:paraId="09516FCB" w14:textId="77777777" w:rsidR="00CA281D" w:rsidRPr="000E3060" w:rsidRDefault="00CA281D" w:rsidP="00CC53BE">
      <w:pPr>
        <w:numPr>
          <w:ilvl w:val="0"/>
          <w:numId w:val="2"/>
        </w:numPr>
        <w:spacing w:after="200"/>
        <w:rPr>
          <w:rFonts w:ascii="Arial" w:hAnsi="Arial" w:cs="Arial"/>
          <w:b/>
          <w:bCs/>
          <w:iCs/>
          <w:sz w:val="22"/>
          <w:szCs w:val="22"/>
        </w:rPr>
      </w:pPr>
      <w:r w:rsidRPr="000E3060">
        <w:rPr>
          <w:rFonts w:ascii="Arial" w:hAnsi="Arial" w:cs="Arial"/>
          <w:b/>
          <w:bCs/>
          <w:iCs/>
          <w:sz w:val="22"/>
          <w:szCs w:val="22"/>
        </w:rPr>
        <w:t xml:space="preserve">      Industry Representation</w:t>
      </w:r>
    </w:p>
    <w:p w14:paraId="143A69AF" w14:textId="77777777" w:rsidR="00CA281D" w:rsidRPr="000E3060" w:rsidRDefault="00CA281D">
      <w:pPr>
        <w:rPr>
          <w:rFonts w:ascii="Arial" w:hAnsi="Arial" w:cs="Arial"/>
          <w:b/>
          <w:bCs/>
          <w:iCs/>
          <w:sz w:val="22"/>
          <w:szCs w:val="22"/>
        </w:rPr>
      </w:pPr>
      <w:r w:rsidRPr="000E3060">
        <w:rPr>
          <w:rFonts w:ascii="Arial" w:hAnsi="Arial" w:cs="Arial"/>
          <w:b/>
          <w:bCs/>
          <w:iCs/>
          <w:sz w:val="22"/>
          <w:szCs w:val="22"/>
        </w:rPr>
        <w:t>The Wales Tourism Alliance</w:t>
      </w:r>
    </w:p>
    <w:p w14:paraId="1FF51520" w14:textId="77777777" w:rsidR="00CA281D" w:rsidRPr="000E3060" w:rsidRDefault="00CA281D">
      <w:pPr>
        <w:rPr>
          <w:rFonts w:ascii="Arial" w:hAnsi="Arial" w:cs="Arial"/>
          <w:b/>
          <w:bCs/>
          <w:iCs/>
          <w:sz w:val="22"/>
          <w:szCs w:val="22"/>
        </w:rPr>
      </w:pPr>
    </w:p>
    <w:p w14:paraId="18382918" w14:textId="758BEB13" w:rsidR="00001385" w:rsidRPr="000E3060" w:rsidRDefault="01FF707E" w:rsidP="00AD2FF1">
      <w:pPr>
        <w:spacing w:after="200"/>
        <w:rPr>
          <w:rFonts w:ascii="Arial" w:hAnsi="Arial" w:cs="Arial"/>
          <w:sz w:val="22"/>
          <w:szCs w:val="22"/>
        </w:rPr>
      </w:pPr>
      <w:r w:rsidRPr="000E3060">
        <w:rPr>
          <w:rFonts w:ascii="Arial" w:hAnsi="Arial" w:cs="Arial"/>
          <w:sz w:val="22"/>
          <w:szCs w:val="22"/>
        </w:rPr>
        <w:t>The Wales Tourism Alliance (WTA) is the recognised over-arching representative organisation for the tourism industry in Wales, liaising with, and coordinating the views of, our member organisations. Where resources allow, the WTA also consults with Government at Westminster, Cardiff and local authorities.</w:t>
      </w:r>
    </w:p>
    <w:p w14:paraId="3D8D4799" w14:textId="0B9C7016" w:rsidR="00CA281D" w:rsidRPr="000E3060" w:rsidRDefault="01FF707E" w:rsidP="00AD2FF1">
      <w:pPr>
        <w:spacing w:after="200"/>
        <w:rPr>
          <w:rFonts w:ascii="Arial" w:hAnsi="Arial" w:cs="Arial"/>
          <w:sz w:val="22"/>
          <w:szCs w:val="22"/>
        </w:rPr>
      </w:pPr>
      <w:r w:rsidRPr="000E3060">
        <w:rPr>
          <w:rFonts w:ascii="Arial" w:hAnsi="Arial" w:cs="Arial"/>
          <w:sz w:val="22"/>
          <w:szCs w:val="22"/>
        </w:rPr>
        <w:t>The WTA acts as an intermediary between Government and members, disseminating information to the industry via our on-line presence, member organisations themselves and colleagues in organisations in other parts of the UK.  It also uses its networks to gather intelligence to formulate policy positions on behalf of members, seeking to inform and influence policy makers at all levels and all government departments whose work impacts upon the industry.</w:t>
      </w:r>
    </w:p>
    <w:p w14:paraId="18A62743" w14:textId="4D86E99A" w:rsidR="00F339DC" w:rsidRPr="000E3060" w:rsidRDefault="01FF707E" w:rsidP="01FF707E">
      <w:pPr>
        <w:rPr>
          <w:rFonts w:ascii="Arial" w:hAnsi="Arial" w:cs="Arial"/>
          <w:sz w:val="22"/>
          <w:szCs w:val="22"/>
        </w:rPr>
      </w:pPr>
      <w:r w:rsidRPr="000E3060">
        <w:rPr>
          <w:rFonts w:ascii="Arial" w:hAnsi="Arial" w:cs="Arial"/>
          <w:sz w:val="22"/>
          <w:szCs w:val="22"/>
        </w:rPr>
        <w:t xml:space="preserve">The membership of the WTA reflects the whole of Wales; national, regional and local representative bodies and businesses.  Through its member organisations and forums resting within its general membership, this amounts to around 7,000 working operators and means WTA contacts and representatives are found in every part of Wales. </w:t>
      </w:r>
    </w:p>
    <w:p w14:paraId="63D28C4E" w14:textId="5A0EAE21" w:rsidR="00F339DC" w:rsidRPr="000E3060" w:rsidRDefault="00F339DC" w:rsidP="01FF707E">
      <w:pPr>
        <w:rPr>
          <w:rFonts w:ascii="Arial" w:hAnsi="Arial" w:cs="Arial"/>
          <w:sz w:val="22"/>
          <w:szCs w:val="22"/>
        </w:rPr>
      </w:pPr>
    </w:p>
    <w:p w14:paraId="165A76D0" w14:textId="074B023D" w:rsidR="00F339DC" w:rsidRPr="000E3060" w:rsidRDefault="2E8437D9" w:rsidP="2E8437D9">
      <w:pPr>
        <w:spacing w:after="200"/>
        <w:rPr>
          <w:rFonts w:ascii="Arial" w:hAnsi="Arial" w:cs="Arial"/>
          <w:sz w:val="22"/>
          <w:szCs w:val="22"/>
        </w:rPr>
      </w:pPr>
      <w:r w:rsidRPr="000E3060">
        <w:rPr>
          <w:rFonts w:ascii="Arial" w:hAnsi="Arial" w:cs="Arial"/>
          <w:sz w:val="22"/>
          <w:szCs w:val="22"/>
        </w:rPr>
        <w:t xml:space="preserve">It is also multi-sectoral; accommodation (hotels, small serviced units, holiday parks, touring caravan and camping sites and self-catering agencies), attractions, activities, training and skills, tourism guides and transport. </w:t>
      </w:r>
    </w:p>
    <w:p w14:paraId="5C8021D9" w14:textId="53CC0723" w:rsidR="003A6024" w:rsidRPr="000E3060" w:rsidRDefault="2E8437D9" w:rsidP="00F44903">
      <w:pPr>
        <w:pStyle w:val="PlainText"/>
        <w:rPr>
          <w:rFonts w:ascii="Arial" w:hAnsi="Arial" w:cs="Arial"/>
          <w:sz w:val="22"/>
          <w:szCs w:val="22"/>
        </w:rPr>
      </w:pPr>
      <w:r w:rsidRPr="000E3060">
        <w:rPr>
          <w:rFonts w:ascii="Arial" w:hAnsi="Arial" w:cs="Arial"/>
          <w:sz w:val="22"/>
          <w:szCs w:val="22"/>
        </w:rPr>
        <w:t xml:space="preserve">To achieve this the Wales Tourism Alliance brings together a private and public sector partnership of tourism industry interests in Wales, including some of the biggest industry members in the United Kingdom who add their voice to ours. </w:t>
      </w:r>
    </w:p>
    <w:p w14:paraId="2A1169C0" w14:textId="4046E255" w:rsidR="01FF707E" w:rsidRPr="000E3060" w:rsidRDefault="01FF707E" w:rsidP="01FF707E">
      <w:pPr>
        <w:pStyle w:val="PlainText"/>
        <w:rPr>
          <w:rFonts w:ascii="Arial" w:hAnsi="Arial" w:cs="Arial"/>
          <w:sz w:val="22"/>
          <w:szCs w:val="22"/>
        </w:rPr>
      </w:pPr>
    </w:p>
    <w:p w14:paraId="3A9F5D52" w14:textId="267A21D7" w:rsidR="00F44903" w:rsidRPr="000E3060" w:rsidRDefault="2E8437D9" w:rsidP="00F44903">
      <w:pPr>
        <w:pStyle w:val="PlainText"/>
        <w:rPr>
          <w:rFonts w:ascii="Arial" w:hAnsi="Arial" w:cs="Arial"/>
          <w:sz w:val="22"/>
          <w:szCs w:val="22"/>
        </w:rPr>
      </w:pPr>
      <w:r w:rsidRPr="000E3060">
        <w:rPr>
          <w:rFonts w:ascii="Arial" w:hAnsi="Arial" w:cs="Arial"/>
          <w:sz w:val="22"/>
          <w:szCs w:val="22"/>
        </w:rPr>
        <w:t xml:space="preserve">The WTA exists to work with partners, including Government, on an honest broker basis.  This is possible due to our trusted status, independent of Government, supported through annually renewed membership fees. The primary, national driver for strategy, delivery and engagement for the industry lies within Government – uniquely so in the UK and Ireland: The WTA provides the balancing, expert voice of tourism businesses on which successful delivery relies, aiming to make a reality of the concept of partnership.  </w:t>
      </w:r>
    </w:p>
    <w:p w14:paraId="1481BE0C" w14:textId="1E51230F" w:rsidR="2E8437D9" w:rsidRPr="000E3060" w:rsidRDefault="2E8437D9" w:rsidP="2E8437D9">
      <w:pPr>
        <w:pStyle w:val="PlainText"/>
        <w:rPr>
          <w:rFonts w:ascii="Arial" w:hAnsi="Arial" w:cs="Arial"/>
          <w:sz w:val="22"/>
          <w:szCs w:val="22"/>
        </w:rPr>
      </w:pPr>
    </w:p>
    <w:p w14:paraId="0878993E" w14:textId="34867790" w:rsidR="2E8437D9" w:rsidRPr="000E3060" w:rsidRDefault="2E8437D9" w:rsidP="2E8437D9">
      <w:pPr>
        <w:rPr>
          <w:rFonts w:ascii="Arial" w:hAnsi="Arial" w:cs="Arial"/>
          <w:sz w:val="22"/>
          <w:szCs w:val="22"/>
        </w:rPr>
      </w:pPr>
      <w:r w:rsidRPr="000E3060">
        <w:rPr>
          <w:rFonts w:ascii="Arial" w:hAnsi="Arial" w:cs="Arial"/>
          <w:sz w:val="22"/>
          <w:szCs w:val="22"/>
        </w:rPr>
        <w:t>The WTA therefore works with and on behalf of operators ranging from major industry players from across the UK to the numerous Welsh micro-businesses and SMEs that make up so much of the tourism industry.</w:t>
      </w:r>
    </w:p>
    <w:p w14:paraId="3338F1C2" w14:textId="77777777" w:rsidR="00C64057" w:rsidRPr="000E3060" w:rsidRDefault="00C64057" w:rsidP="2E8437D9">
      <w:pPr>
        <w:rPr>
          <w:rFonts w:ascii="Arial" w:hAnsi="Arial" w:cs="Arial"/>
          <w:sz w:val="22"/>
          <w:szCs w:val="22"/>
        </w:rPr>
      </w:pPr>
    </w:p>
    <w:p w14:paraId="0ECBE450" w14:textId="77777777" w:rsidR="00F44903" w:rsidRPr="000E3060" w:rsidRDefault="00F44903" w:rsidP="00F44903">
      <w:pPr>
        <w:pStyle w:val="PlainText"/>
        <w:rPr>
          <w:rFonts w:ascii="Arial" w:hAnsi="Arial" w:cs="Arial"/>
          <w:sz w:val="22"/>
          <w:szCs w:val="22"/>
        </w:rPr>
      </w:pPr>
    </w:p>
    <w:p w14:paraId="3F029C84" w14:textId="77777777" w:rsidR="00CA281D" w:rsidRPr="000E3060" w:rsidRDefault="00F44903" w:rsidP="00F44903">
      <w:pPr>
        <w:pStyle w:val="PlainText"/>
        <w:rPr>
          <w:rFonts w:ascii="Arial" w:hAnsi="Arial" w:cs="Arial"/>
          <w:sz w:val="22"/>
          <w:szCs w:val="22"/>
        </w:rPr>
      </w:pPr>
      <w:r w:rsidRPr="000E3060">
        <w:rPr>
          <w:rFonts w:ascii="Arial" w:hAnsi="Arial" w:cs="Arial"/>
          <w:b/>
          <w:sz w:val="22"/>
          <w:szCs w:val="22"/>
        </w:rPr>
        <w:t>The WTA</w:t>
      </w:r>
      <w:r w:rsidR="00CA281D" w:rsidRPr="000E3060">
        <w:rPr>
          <w:rFonts w:ascii="Arial" w:hAnsi="Arial" w:cs="Arial"/>
          <w:b/>
          <w:sz w:val="22"/>
          <w:szCs w:val="22"/>
        </w:rPr>
        <w:t xml:space="preserve"> Response </w:t>
      </w:r>
    </w:p>
    <w:p w14:paraId="623B4A6B" w14:textId="77777777" w:rsidR="00C162E5" w:rsidRPr="000E3060" w:rsidRDefault="00C162E5" w:rsidP="00C162E5">
      <w:pPr>
        <w:autoSpaceDE w:val="0"/>
        <w:autoSpaceDN w:val="0"/>
        <w:adjustRightInd w:val="0"/>
        <w:rPr>
          <w:rFonts w:ascii="Arial" w:hAnsi="Arial" w:cs="Arial"/>
          <w:sz w:val="22"/>
          <w:szCs w:val="22"/>
        </w:rPr>
      </w:pPr>
    </w:p>
    <w:p w14:paraId="0D9B1329" w14:textId="77777777" w:rsidR="004D76CB" w:rsidRPr="000E3060" w:rsidRDefault="004D76CB" w:rsidP="004D76CB">
      <w:pPr>
        <w:pStyle w:val="Heading4"/>
        <w:keepNext w:val="0"/>
        <w:pBdr>
          <w:top w:val="none" w:sz="0" w:space="15" w:color="auto"/>
        </w:pBdr>
        <w:shd w:val="clear" w:color="auto" w:fill="FFFFFF"/>
        <w:spacing w:after="380"/>
        <w:rPr>
          <w:b w:val="0"/>
          <w:color w:val="1F1F1F"/>
          <w:sz w:val="22"/>
          <w:szCs w:val="22"/>
        </w:rPr>
      </w:pPr>
      <w:r w:rsidRPr="000E3060">
        <w:rPr>
          <w:color w:val="1F1F1F"/>
          <w:sz w:val="22"/>
          <w:szCs w:val="22"/>
        </w:rPr>
        <w:t xml:space="preserve">Q.1. Do you agree that the Welsh Government should increase rates of LTT for second homes and short-term holiday lets in areas where there is an evidenced case to do so? </w:t>
      </w:r>
    </w:p>
    <w:p w14:paraId="113AB2C9" w14:textId="77777777" w:rsidR="004D76CB" w:rsidRPr="000E3060" w:rsidRDefault="004D76CB" w:rsidP="004D76CB">
      <w:pPr>
        <w:rPr>
          <w:rFonts w:ascii="Arial" w:hAnsi="Arial" w:cs="Arial"/>
          <w:sz w:val="22"/>
          <w:szCs w:val="22"/>
        </w:rPr>
      </w:pPr>
      <w:r w:rsidRPr="000E3060">
        <w:rPr>
          <w:rFonts w:ascii="Arial" w:hAnsi="Arial" w:cs="Arial"/>
          <w:sz w:val="22"/>
          <w:szCs w:val="22"/>
        </w:rPr>
        <w:t xml:space="preserve">The answer to this depends entirely on what is meant by “an evidenced case”.  We have been concerned about the apparent lack of a range of impact assessments in </w:t>
      </w:r>
      <w:r w:rsidRPr="000E3060">
        <w:rPr>
          <w:rFonts w:ascii="Arial" w:hAnsi="Arial" w:cs="Arial"/>
          <w:sz w:val="22"/>
          <w:szCs w:val="22"/>
        </w:rPr>
        <w:lastRenderedPageBreak/>
        <w:t>connection with other proposals mooted around second homes and, so far, this seems no different.</w:t>
      </w:r>
    </w:p>
    <w:p w14:paraId="13E986EA" w14:textId="77777777" w:rsidR="004D76CB" w:rsidRPr="000E3060" w:rsidRDefault="004D76CB" w:rsidP="004D76CB">
      <w:pPr>
        <w:rPr>
          <w:rFonts w:ascii="Arial" w:hAnsi="Arial" w:cs="Arial"/>
          <w:sz w:val="22"/>
          <w:szCs w:val="22"/>
        </w:rPr>
      </w:pPr>
    </w:p>
    <w:p w14:paraId="00E973D6" w14:textId="77777777" w:rsidR="004D76CB" w:rsidRPr="000E3060" w:rsidRDefault="004D76CB" w:rsidP="004D76CB">
      <w:pPr>
        <w:rPr>
          <w:rFonts w:ascii="Arial" w:hAnsi="Arial" w:cs="Arial"/>
          <w:sz w:val="22"/>
          <w:szCs w:val="22"/>
        </w:rPr>
      </w:pPr>
      <w:r w:rsidRPr="000E3060">
        <w:rPr>
          <w:rFonts w:ascii="Arial" w:hAnsi="Arial" w:cs="Arial"/>
          <w:sz w:val="22"/>
          <w:szCs w:val="22"/>
        </w:rPr>
        <w:t>This is a lever WG can pull, but what are the likely consequences?  We ask you to think about:</w:t>
      </w:r>
    </w:p>
    <w:p w14:paraId="170D8E65" w14:textId="77777777" w:rsidR="004D76CB" w:rsidRPr="000E3060" w:rsidRDefault="004D76CB" w:rsidP="004D76CB">
      <w:pPr>
        <w:rPr>
          <w:rFonts w:ascii="Arial" w:hAnsi="Arial" w:cs="Arial"/>
          <w:sz w:val="22"/>
          <w:szCs w:val="22"/>
        </w:rPr>
      </w:pPr>
    </w:p>
    <w:p w14:paraId="7E1C6E43" w14:textId="77777777" w:rsidR="004D76CB" w:rsidRPr="000E3060" w:rsidRDefault="004D76CB" w:rsidP="00CC53BE">
      <w:pPr>
        <w:numPr>
          <w:ilvl w:val="0"/>
          <w:numId w:val="6"/>
        </w:numPr>
        <w:spacing w:line="276" w:lineRule="auto"/>
        <w:rPr>
          <w:rFonts w:ascii="Arial" w:hAnsi="Arial" w:cs="Arial"/>
          <w:sz w:val="22"/>
          <w:szCs w:val="22"/>
        </w:rPr>
      </w:pPr>
      <w:r w:rsidRPr="000E3060">
        <w:rPr>
          <w:rFonts w:ascii="Arial" w:hAnsi="Arial" w:cs="Arial"/>
          <w:sz w:val="22"/>
          <w:szCs w:val="22"/>
        </w:rPr>
        <w:t>Vendors will sell at the best price they can.</w:t>
      </w:r>
    </w:p>
    <w:p w14:paraId="23BF072D" w14:textId="77777777" w:rsidR="004D76CB" w:rsidRPr="000E3060" w:rsidRDefault="004D76CB" w:rsidP="00CC53BE">
      <w:pPr>
        <w:numPr>
          <w:ilvl w:val="0"/>
          <w:numId w:val="6"/>
        </w:numPr>
        <w:spacing w:line="276" w:lineRule="auto"/>
        <w:rPr>
          <w:rFonts w:ascii="Arial" w:hAnsi="Arial" w:cs="Arial"/>
          <w:sz w:val="22"/>
          <w:szCs w:val="22"/>
        </w:rPr>
      </w:pPr>
      <w:r w:rsidRPr="000E3060">
        <w:rPr>
          <w:rFonts w:ascii="Arial" w:hAnsi="Arial" w:cs="Arial"/>
          <w:sz w:val="22"/>
          <w:szCs w:val="22"/>
        </w:rPr>
        <w:t>Vendors will not advertise their properties locally.  They will advertise in parts of the UK where local prices and incomes are much higher, and where certain buyers will not be deterred by the price plus new taxes.  Whether they are second home owners or business owners - again, these proposals treat them as the same thing - they will not be local.</w:t>
      </w:r>
    </w:p>
    <w:p w14:paraId="72830AC2" w14:textId="77777777" w:rsidR="004D76CB" w:rsidRPr="000E3060" w:rsidRDefault="004D76CB" w:rsidP="00CC53BE">
      <w:pPr>
        <w:numPr>
          <w:ilvl w:val="0"/>
          <w:numId w:val="6"/>
        </w:numPr>
        <w:spacing w:line="276" w:lineRule="auto"/>
        <w:rPr>
          <w:rFonts w:ascii="Arial" w:hAnsi="Arial" w:cs="Arial"/>
          <w:sz w:val="22"/>
          <w:szCs w:val="22"/>
        </w:rPr>
      </w:pPr>
      <w:r w:rsidRPr="000E3060">
        <w:rPr>
          <w:rFonts w:ascii="Arial" w:hAnsi="Arial" w:cs="Arial"/>
          <w:sz w:val="22"/>
          <w:szCs w:val="22"/>
        </w:rPr>
        <w:t xml:space="preserve">Those buyers will still be mindful of the cost of living rises and may choose a smaller property than they might otherwise have done.  Already we see that it is the larger properties which are finding it more difficult to get bookings, so they are also less attractive as business investments as well as second homes.  These proposals will push the demand into the smaller properties, keeping the prices higher at the lower end of the market. </w:t>
      </w:r>
    </w:p>
    <w:p w14:paraId="2840A445" w14:textId="77777777" w:rsidR="004D76CB" w:rsidRPr="000E3060" w:rsidRDefault="004D76CB" w:rsidP="004D76CB">
      <w:pPr>
        <w:ind w:left="720"/>
        <w:rPr>
          <w:rFonts w:ascii="Arial" w:hAnsi="Arial" w:cs="Arial"/>
          <w:sz w:val="22"/>
          <w:szCs w:val="22"/>
        </w:rPr>
      </w:pPr>
    </w:p>
    <w:p w14:paraId="52EAC534" w14:textId="77777777" w:rsidR="004D76CB" w:rsidRPr="000E3060" w:rsidRDefault="004D76CB" w:rsidP="004D76CB">
      <w:pPr>
        <w:ind w:left="720"/>
        <w:rPr>
          <w:rFonts w:ascii="Arial" w:hAnsi="Arial" w:cs="Arial"/>
          <w:sz w:val="22"/>
          <w:szCs w:val="22"/>
        </w:rPr>
      </w:pPr>
      <w:r w:rsidRPr="000E3060">
        <w:rPr>
          <w:rFonts w:ascii="Arial" w:hAnsi="Arial" w:cs="Arial"/>
          <w:sz w:val="22"/>
          <w:szCs w:val="22"/>
        </w:rPr>
        <w:t>In short, this will not assist with a more affordable local housing market.  It will create a less affordable business environment market for locals considering setting up self-catering businesses without deterring purchases by people living in wealthier parts of the UK.  This does not meet the policy aims on local housing, services or Welsh language.</w:t>
      </w:r>
    </w:p>
    <w:p w14:paraId="139C4970" w14:textId="77777777" w:rsidR="004D76CB" w:rsidRPr="000E3060" w:rsidRDefault="004D76CB" w:rsidP="004D76CB">
      <w:pPr>
        <w:ind w:left="720"/>
        <w:rPr>
          <w:rFonts w:ascii="Arial" w:hAnsi="Arial" w:cs="Arial"/>
          <w:sz w:val="22"/>
          <w:szCs w:val="22"/>
        </w:rPr>
      </w:pPr>
    </w:p>
    <w:p w14:paraId="6DBA1697" w14:textId="77777777" w:rsidR="004D76CB" w:rsidRPr="000E3060" w:rsidRDefault="004D76CB" w:rsidP="004D76CB">
      <w:pPr>
        <w:ind w:left="720"/>
        <w:rPr>
          <w:rFonts w:ascii="Arial" w:hAnsi="Arial" w:cs="Arial"/>
          <w:sz w:val="22"/>
          <w:szCs w:val="22"/>
        </w:rPr>
      </w:pPr>
      <w:r w:rsidRPr="000E3060">
        <w:rPr>
          <w:rFonts w:ascii="Arial" w:hAnsi="Arial" w:cs="Arial"/>
          <w:sz w:val="22"/>
          <w:szCs w:val="22"/>
        </w:rPr>
        <w:t>As this policy is being developed in tandem with those for tourism tax, premium council tax rates and occupancy thresholds for NDR, we also ask you to consider the cumulative effect of these policies.</w:t>
      </w:r>
    </w:p>
    <w:p w14:paraId="170194F2" w14:textId="77777777" w:rsidR="004D76CB" w:rsidRPr="000E3060" w:rsidRDefault="004D76CB" w:rsidP="004D76CB">
      <w:pPr>
        <w:ind w:left="720"/>
        <w:rPr>
          <w:rFonts w:ascii="Arial" w:hAnsi="Arial" w:cs="Arial"/>
          <w:sz w:val="22"/>
          <w:szCs w:val="22"/>
        </w:rPr>
      </w:pPr>
    </w:p>
    <w:p w14:paraId="32BBC595" w14:textId="77777777" w:rsidR="004D76CB" w:rsidRPr="000E3060" w:rsidRDefault="004D76CB" w:rsidP="000E3060">
      <w:pPr>
        <w:pStyle w:val="Heading4"/>
        <w:keepNext w:val="0"/>
        <w:pBdr>
          <w:top w:val="none" w:sz="0" w:space="15" w:color="auto"/>
        </w:pBdr>
        <w:shd w:val="clear" w:color="auto" w:fill="FFFFFF"/>
        <w:spacing w:after="380"/>
        <w:rPr>
          <w:b w:val="0"/>
          <w:color w:val="1F1F1F"/>
          <w:sz w:val="22"/>
          <w:szCs w:val="22"/>
        </w:rPr>
      </w:pPr>
      <w:bookmarkStart w:id="0" w:name="_qqmk6wuu1r2y" w:colFirst="0" w:colLast="0"/>
      <w:bookmarkEnd w:id="0"/>
      <w:r w:rsidRPr="000E3060">
        <w:rPr>
          <w:color w:val="1F1F1F"/>
          <w:sz w:val="22"/>
          <w:szCs w:val="22"/>
        </w:rPr>
        <w:t>Q3. In your view, what procedure should be used to determine whether an area should be subject to increased rates?</w:t>
      </w:r>
    </w:p>
    <w:p w14:paraId="6897AB69" w14:textId="77777777" w:rsidR="004D76CB" w:rsidRPr="000E3060" w:rsidRDefault="004D76CB" w:rsidP="000E3060">
      <w:pPr>
        <w:pStyle w:val="Heading4"/>
        <w:keepNext w:val="0"/>
        <w:pBdr>
          <w:top w:val="none" w:sz="0" w:space="15" w:color="auto"/>
        </w:pBdr>
        <w:shd w:val="clear" w:color="auto" w:fill="FFFFFF"/>
        <w:spacing w:after="380"/>
        <w:rPr>
          <w:b w:val="0"/>
          <w:color w:val="1F1F1F"/>
          <w:sz w:val="22"/>
          <w:szCs w:val="22"/>
        </w:rPr>
      </w:pPr>
      <w:bookmarkStart w:id="1" w:name="_lksd133o510o" w:colFirst="0" w:colLast="0"/>
      <w:bookmarkEnd w:id="1"/>
      <w:r w:rsidRPr="000E3060">
        <w:rPr>
          <w:color w:val="1F1F1F"/>
          <w:sz w:val="22"/>
          <w:szCs w:val="22"/>
        </w:rPr>
        <w:t>Q4. If criteria are used to determine which areas are subject to increases in rates, what do you think the criteria should be?</w:t>
      </w:r>
    </w:p>
    <w:p w14:paraId="1D97C386" w14:textId="77777777" w:rsidR="004D76CB" w:rsidRPr="000E3060" w:rsidRDefault="004D76CB" w:rsidP="004D76CB">
      <w:pPr>
        <w:ind w:left="720"/>
        <w:rPr>
          <w:rFonts w:ascii="Arial" w:hAnsi="Arial" w:cs="Arial"/>
          <w:sz w:val="22"/>
          <w:szCs w:val="22"/>
        </w:rPr>
      </w:pPr>
      <w:r w:rsidRPr="000E3060">
        <w:rPr>
          <w:rFonts w:ascii="Arial" w:hAnsi="Arial" w:cs="Arial"/>
          <w:sz w:val="22"/>
          <w:szCs w:val="22"/>
        </w:rPr>
        <w:t>This begins with the policy objective, and the three primary questions following from those:</w:t>
      </w:r>
    </w:p>
    <w:p w14:paraId="6234A021" w14:textId="77777777" w:rsidR="004D76CB" w:rsidRPr="000E3060" w:rsidRDefault="004D76CB" w:rsidP="00CC53BE">
      <w:pPr>
        <w:numPr>
          <w:ilvl w:val="0"/>
          <w:numId w:val="5"/>
        </w:numPr>
        <w:spacing w:line="276" w:lineRule="auto"/>
        <w:rPr>
          <w:rFonts w:ascii="Arial" w:hAnsi="Arial" w:cs="Arial"/>
          <w:sz w:val="22"/>
          <w:szCs w:val="22"/>
        </w:rPr>
      </w:pPr>
      <w:r w:rsidRPr="000E3060">
        <w:rPr>
          <w:rFonts w:ascii="Arial" w:hAnsi="Arial" w:cs="Arial"/>
          <w:sz w:val="22"/>
          <w:szCs w:val="22"/>
        </w:rPr>
        <w:t>Will this release more housing stock?</w:t>
      </w:r>
    </w:p>
    <w:p w14:paraId="17EFF186" w14:textId="77777777" w:rsidR="004D76CB" w:rsidRPr="000E3060" w:rsidRDefault="004D76CB" w:rsidP="00CC53BE">
      <w:pPr>
        <w:numPr>
          <w:ilvl w:val="0"/>
          <w:numId w:val="5"/>
        </w:numPr>
        <w:spacing w:line="276" w:lineRule="auto"/>
        <w:rPr>
          <w:rFonts w:ascii="Arial" w:hAnsi="Arial" w:cs="Arial"/>
          <w:sz w:val="22"/>
          <w:szCs w:val="22"/>
        </w:rPr>
      </w:pPr>
      <w:r w:rsidRPr="000E3060">
        <w:rPr>
          <w:rFonts w:ascii="Arial" w:hAnsi="Arial" w:cs="Arial"/>
          <w:sz w:val="22"/>
          <w:szCs w:val="22"/>
        </w:rPr>
        <w:t>Will it be affordable for local people (to be defined)?</w:t>
      </w:r>
    </w:p>
    <w:p w14:paraId="6B116BDB" w14:textId="77777777" w:rsidR="004D76CB" w:rsidRPr="000E3060" w:rsidRDefault="004D76CB" w:rsidP="00CC53BE">
      <w:pPr>
        <w:numPr>
          <w:ilvl w:val="0"/>
          <w:numId w:val="5"/>
        </w:numPr>
        <w:spacing w:line="276" w:lineRule="auto"/>
        <w:rPr>
          <w:rFonts w:ascii="Arial" w:hAnsi="Arial" w:cs="Arial"/>
          <w:sz w:val="22"/>
          <w:szCs w:val="22"/>
        </w:rPr>
      </w:pPr>
      <w:r w:rsidRPr="000E3060">
        <w:rPr>
          <w:rFonts w:ascii="Arial" w:hAnsi="Arial" w:cs="Arial"/>
          <w:sz w:val="22"/>
          <w:szCs w:val="22"/>
        </w:rPr>
        <w:t xml:space="preserve">Will it stimulate growth in jobs and local </w:t>
      </w:r>
      <w:proofErr w:type="gramStart"/>
      <w:r w:rsidRPr="000E3060">
        <w:rPr>
          <w:rFonts w:ascii="Arial" w:hAnsi="Arial" w:cs="Arial"/>
          <w:sz w:val="22"/>
          <w:szCs w:val="22"/>
        </w:rPr>
        <w:t>spend</w:t>
      </w:r>
      <w:proofErr w:type="gramEnd"/>
    </w:p>
    <w:p w14:paraId="1663AA05" w14:textId="77777777" w:rsidR="004D76CB" w:rsidRPr="000E3060" w:rsidRDefault="004D76CB" w:rsidP="004D76CB">
      <w:pPr>
        <w:rPr>
          <w:rFonts w:ascii="Arial" w:hAnsi="Arial" w:cs="Arial"/>
          <w:sz w:val="22"/>
          <w:szCs w:val="22"/>
        </w:rPr>
      </w:pPr>
    </w:p>
    <w:p w14:paraId="087E463B" w14:textId="77777777" w:rsidR="004D76CB" w:rsidRPr="000E3060" w:rsidRDefault="004D76CB" w:rsidP="004D76CB">
      <w:pPr>
        <w:rPr>
          <w:rFonts w:ascii="Arial" w:hAnsi="Arial" w:cs="Arial"/>
          <w:sz w:val="22"/>
          <w:szCs w:val="22"/>
        </w:rPr>
      </w:pPr>
      <w:r w:rsidRPr="000E3060">
        <w:rPr>
          <w:rFonts w:ascii="Arial" w:hAnsi="Arial" w:cs="Arial"/>
          <w:sz w:val="22"/>
          <w:szCs w:val="22"/>
        </w:rPr>
        <w:t>It then needs to be moderated by:</w:t>
      </w:r>
    </w:p>
    <w:p w14:paraId="6F58F2B0" w14:textId="77777777" w:rsidR="004D76CB" w:rsidRPr="000E3060" w:rsidRDefault="004D76CB" w:rsidP="00CC53BE">
      <w:pPr>
        <w:numPr>
          <w:ilvl w:val="0"/>
          <w:numId w:val="3"/>
        </w:numPr>
        <w:spacing w:line="276" w:lineRule="auto"/>
        <w:rPr>
          <w:rFonts w:ascii="Arial" w:hAnsi="Arial" w:cs="Arial"/>
          <w:sz w:val="22"/>
          <w:szCs w:val="22"/>
        </w:rPr>
      </w:pPr>
      <w:r w:rsidRPr="000E3060">
        <w:rPr>
          <w:rFonts w:ascii="Arial" w:hAnsi="Arial" w:cs="Arial"/>
          <w:sz w:val="22"/>
          <w:szCs w:val="22"/>
        </w:rPr>
        <w:t xml:space="preserve">What are the unintended consequences of this policy, socially and </w:t>
      </w:r>
      <w:proofErr w:type="gramStart"/>
      <w:r w:rsidRPr="000E3060">
        <w:rPr>
          <w:rFonts w:ascii="Arial" w:hAnsi="Arial" w:cs="Arial"/>
          <w:sz w:val="22"/>
          <w:szCs w:val="22"/>
        </w:rPr>
        <w:t>economically.</w:t>
      </w:r>
      <w:proofErr w:type="gramEnd"/>
      <w:r w:rsidRPr="000E3060">
        <w:rPr>
          <w:rFonts w:ascii="Arial" w:hAnsi="Arial" w:cs="Arial"/>
          <w:sz w:val="22"/>
          <w:szCs w:val="22"/>
        </w:rPr>
        <w:t xml:space="preserve">  We have given you examples above</w:t>
      </w:r>
    </w:p>
    <w:p w14:paraId="42633F0D" w14:textId="77777777" w:rsidR="004D76CB" w:rsidRPr="000E3060" w:rsidRDefault="004D76CB" w:rsidP="004D76CB">
      <w:pPr>
        <w:rPr>
          <w:rFonts w:ascii="Arial" w:hAnsi="Arial" w:cs="Arial"/>
          <w:sz w:val="22"/>
          <w:szCs w:val="22"/>
        </w:rPr>
      </w:pPr>
    </w:p>
    <w:p w14:paraId="7476ABF6" w14:textId="77777777" w:rsidR="004D76CB" w:rsidRPr="000E3060" w:rsidRDefault="004D76CB" w:rsidP="004D76CB">
      <w:pPr>
        <w:pStyle w:val="Heading4"/>
        <w:keepNext w:val="0"/>
        <w:pBdr>
          <w:top w:val="none" w:sz="0" w:space="15" w:color="auto"/>
        </w:pBdr>
        <w:shd w:val="clear" w:color="auto" w:fill="FFFFFF"/>
        <w:spacing w:after="380"/>
        <w:rPr>
          <w:b w:val="0"/>
          <w:color w:val="1F1F1F"/>
          <w:sz w:val="22"/>
          <w:szCs w:val="22"/>
        </w:rPr>
      </w:pPr>
      <w:bookmarkStart w:id="2" w:name="_tly5u4tmse1j" w:colFirst="0" w:colLast="0"/>
      <w:bookmarkEnd w:id="2"/>
      <w:r w:rsidRPr="000E3060">
        <w:rPr>
          <w:color w:val="1F1F1F"/>
          <w:sz w:val="22"/>
          <w:szCs w:val="22"/>
        </w:rPr>
        <w:t xml:space="preserve">Q.6. What are your views </w:t>
      </w:r>
      <w:proofErr w:type="gramStart"/>
      <w:r w:rsidRPr="000E3060">
        <w:rPr>
          <w:color w:val="1F1F1F"/>
          <w:sz w:val="22"/>
          <w:szCs w:val="22"/>
        </w:rPr>
        <w:t>on:</w:t>
      </w:r>
      <w:proofErr w:type="gramEnd"/>
    </w:p>
    <w:p w14:paraId="07AFFF32" w14:textId="77777777" w:rsidR="004D76CB" w:rsidRPr="000E3060" w:rsidRDefault="004D76CB" w:rsidP="00CC53BE">
      <w:pPr>
        <w:pStyle w:val="Heading4"/>
        <w:keepNext w:val="0"/>
        <w:numPr>
          <w:ilvl w:val="0"/>
          <w:numId w:val="4"/>
        </w:numPr>
        <w:pBdr>
          <w:top w:val="none" w:sz="0" w:space="15" w:color="auto"/>
        </w:pBdr>
        <w:shd w:val="clear" w:color="auto" w:fill="FFFFFF"/>
        <w:spacing w:line="276" w:lineRule="auto"/>
        <w:rPr>
          <w:b w:val="0"/>
          <w:sz w:val="22"/>
          <w:szCs w:val="22"/>
        </w:rPr>
      </w:pPr>
      <w:bookmarkStart w:id="3" w:name="_n9r9up1pausv" w:colFirst="0" w:colLast="0"/>
      <w:bookmarkEnd w:id="3"/>
      <w:r w:rsidRPr="000E3060">
        <w:rPr>
          <w:color w:val="1F1F1F"/>
          <w:sz w:val="22"/>
          <w:szCs w:val="22"/>
        </w:rPr>
        <w:lastRenderedPageBreak/>
        <w:t>varying the existing higher rates for all higher rate transactions within a specified area? or</w:t>
      </w:r>
    </w:p>
    <w:p w14:paraId="05DDDA57" w14:textId="77777777" w:rsidR="004D76CB" w:rsidRPr="000E3060" w:rsidRDefault="004D76CB" w:rsidP="00CC53BE">
      <w:pPr>
        <w:pStyle w:val="Heading4"/>
        <w:keepNext w:val="0"/>
        <w:numPr>
          <w:ilvl w:val="0"/>
          <w:numId w:val="4"/>
        </w:numPr>
        <w:pBdr>
          <w:top w:val="none" w:sz="0" w:space="15" w:color="auto"/>
        </w:pBdr>
        <w:shd w:val="clear" w:color="auto" w:fill="FFFFFF"/>
        <w:spacing w:after="600" w:line="276" w:lineRule="auto"/>
        <w:rPr>
          <w:b w:val="0"/>
          <w:sz w:val="22"/>
          <w:szCs w:val="22"/>
        </w:rPr>
      </w:pPr>
      <w:bookmarkStart w:id="4" w:name="_sjhqt25oyr4q" w:colFirst="0" w:colLast="0"/>
      <w:bookmarkEnd w:id="4"/>
      <w:r w:rsidRPr="000E3060">
        <w:rPr>
          <w:color w:val="1F1F1F"/>
          <w:sz w:val="22"/>
          <w:szCs w:val="22"/>
        </w:rPr>
        <w:t>introducing new rates applied only to purchases of properties intended to be used as second homes or short-term holiday lets within a specified area?</w:t>
      </w:r>
    </w:p>
    <w:p w14:paraId="2B0DDF6C" w14:textId="77777777" w:rsidR="004D76CB" w:rsidRPr="000E3060" w:rsidRDefault="004D76CB" w:rsidP="004D76CB">
      <w:pPr>
        <w:pStyle w:val="Heading4"/>
        <w:keepNext w:val="0"/>
        <w:pBdr>
          <w:top w:val="none" w:sz="0" w:space="15" w:color="auto"/>
        </w:pBdr>
        <w:shd w:val="clear" w:color="auto" w:fill="FFFFFF"/>
        <w:spacing w:after="600"/>
        <w:rPr>
          <w:b w:val="0"/>
          <w:color w:val="1F1F1F"/>
          <w:sz w:val="22"/>
          <w:szCs w:val="22"/>
        </w:rPr>
      </w:pPr>
      <w:bookmarkStart w:id="5" w:name="_63sf6ntpsas4" w:colFirst="0" w:colLast="0"/>
      <w:bookmarkEnd w:id="5"/>
      <w:r w:rsidRPr="000E3060">
        <w:rPr>
          <w:color w:val="1F1F1F"/>
          <w:sz w:val="22"/>
          <w:szCs w:val="22"/>
        </w:rPr>
        <w:t>Q.8. Do you agree short-term holiday lets should be subject to any increased rates, as well as second homes? Please explain your answer.</w:t>
      </w:r>
    </w:p>
    <w:p w14:paraId="4E410554" w14:textId="77777777" w:rsidR="004D76CB" w:rsidRPr="000E3060" w:rsidRDefault="004D76CB" w:rsidP="004D76CB">
      <w:pPr>
        <w:rPr>
          <w:rFonts w:ascii="Arial" w:hAnsi="Arial" w:cs="Arial"/>
          <w:sz w:val="22"/>
          <w:szCs w:val="22"/>
        </w:rPr>
      </w:pPr>
      <w:r w:rsidRPr="000E3060">
        <w:rPr>
          <w:rFonts w:ascii="Arial" w:hAnsi="Arial" w:cs="Arial"/>
          <w:sz w:val="22"/>
          <w:szCs w:val="22"/>
        </w:rPr>
        <w:t>Holiday lets are currently governed by specific businesses definitions (WG/VOA) if they reach the letting threshold’s they are recognised businesses. They should be treated as such. The application of a one-size fits all policy which will damage legitimate holiday let businesses is going to have serious un-intended consequences for many struggling families in rural Wales.</w:t>
      </w:r>
    </w:p>
    <w:p w14:paraId="2F765237" w14:textId="77777777" w:rsidR="004D76CB" w:rsidRPr="000E3060" w:rsidRDefault="004D76CB" w:rsidP="004D76CB">
      <w:pPr>
        <w:pStyle w:val="Heading4"/>
        <w:keepNext w:val="0"/>
        <w:pBdr>
          <w:top w:val="none" w:sz="0" w:space="15" w:color="auto"/>
        </w:pBdr>
        <w:shd w:val="clear" w:color="auto" w:fill="FFFFFF"/>
        <w:spacing w:after="380"/>
        <w:rPr>
          <w:b w:val="0"/>
          <w:color w:val="1F1F1F"/>
          <w:sz w:val="22"/>
          <w:szCs w:val="22"/>
        </w:rPr>
      </w:pPr>
      <w:bookmarkStart w:id="6" w:name="_k0soepowhqsj" w:colFirst="0" w:colLast="0"/>
      <w:bookmarkEnd w:id="6"/>
      <w:r w:rsidRPr="000E3060">
        <w:rPr>
          <w:color w:val="1F1F1F"/>
          <w:sz w:val="22"/>
          <w:szCs w:val="22"/>
        </w:rPr>
        <w:t>Q.9. Do you agree properties which cannot be occupied for all of the year should not be subject to any increased rates? Please explain your answer.</w:t>
      </w:r>
    </w:p>
    <w:p w14:paraId="693CD4A1" w14:textId="77777777" w:rsidR="004D76CB" w:rsidRPr="000E3060" w:rsidRDefault="004D76CB" w:rsidP="004D76CB">
      <w:pPr>
        <w:rPr>
          <w:rFonts w:ascii="Arial" w:hAnsi="Arial" w:cs="Arial"/>
          <w:sz w:val="22"/>
          <w:szCs w:val="22"/>
        </w:rPr>
      </w:pPr>
      <w:r w:rsidRPr="000E3060">
        <w:rPr>
          <w:rFonts w:ascii="Arial" w:hAnsi="Arial" w:cs="Arial"/>
          <w:sz w:val="22"/>
          <w:szCs w:val="22"/>
        </w:rPr>
        <w:t>Any new rates must not be applied retrospectively (no backward facing demand for additional LTT for existing owners).</w:t>
      </w:r>
    </w:p>
    <w:p w14:paraId="5DB61DB9" w14:textId="77777777" w:rsidR="004D76CB" w:rsidRPr="000E3060" w:rsidRDefault="004D76CB" w:rsidP="004D76CB">
      <w:pPr>
        <w:rPr>
          <w:rFonts w:ascii="Arial" w:hAnsi="Arial" w:cs="Arial"/>
          <w:sz w:val="22"/>
          <w:szCs w:val="22"/>
        </w:rPr>
      </w:pPr>
    </w:p>
    <w:p w14:paraId="2E9F1800" w14:textId="77777777" w:rsidR="004D76CB" w:rsidRPr="000E3060" w:rsidRDefault="004D76CB" w:rsidP="004D76CB">
      <w:pPr>
        <w:rPr>
          <w:rFonts w:ascii="Arial" w:hAnsi="Arial" w:cs="Arial"/>
          <w:sz w:val="22"/>
          <w:szCs w:val="22"/>
        </w:rPr>
      </w:pPr>
      <w:r w:rsidRPr="000E3060">
        <w:rPr>
          <w:rFonts w:ascii="Arial" w:hAnsi="Arial" w:cs="Arial"/>
          <w:sz w:val="22"/>
          <w:szCs w:val="22"/>
        </w:rPr>
        <w:t xml:space="preserve">Bona fide furnished holiday let businesses (FHLs) should not be included in these plans unless the intention is to apply them to all types of business property.  It makes no sense to be consulting on how best to distinguish between FHLs and second homes in one consultation for a range of reasons offered by Welsh Government, only to ignore those reasons and reunite the two statuses in this one.  </w:t>
      </w:r>
    </w:p>
    <w:p w14:paraId="28689104" w14:textId="77777777" w:rsidR="004D76CB" w:rsidRPr="000E3060" w:rsidRDefault="004D76CB" w:rsidP="004D76CB">
      <w:pPr>
        <w:rPr>
          <w:rFonts w:ascii="Arial" w:hAnsi="Arial" w:cs="Arial"/>
          <w:sz w:val="22"/>
          <w:szCs w:val="22"/>
        </w:rPr>
      </w:pPr>
    </w:p>
    <w:p w14:paraId="4E901833" w14:textId="77777777" w:rsidR="004D76CB" w:rsidRPr="000E3060" w:rsidRDefault="004D76CB" w:rsidP="004D76CB">
      <w:pPr>
        <w:rPr>
          <w:rFonts w:ascii="Arial" w:hAnsi="Arial" w:cs="Arial"/>
          <w:sz w:val="22"/>
          <w:szCs w:val="22"/>
        </w:rPr>
      </w:pPr>
      <w:r w:rsidRPr="000E3060">
        <w:rPr>
          <w:rFonts w:ascii="Arial" w:hAnsi="Arial" w:cs="Arial"/>
          <w:sz w:val="22"/>
          <w:szCs w:val="22"/>
        </w:rPr>
        <w:t>FHLs cannot be occupied all year round due to changeover periods, maintenance periods, new best practice on cleaning/fallow days arising from covid and actual demand.</w:t>
      </w:r>
    </w:p>
    <w:p w14:paraId="08FD3CE4" w14:textId="77777777" w:rsidR="004D76CB" w:rsidRPr="000E3060" w:rsidRDefault="004D76CB" w:rsidP="004D76CB">
      <w:pPr>
        <w:rPr>
          <w:rFonts w:ascii="Arial" w:hAnsi="Arial" w:cs="Arial"/>
          <w:sz w:val="22"/>
          <w:szCs w:val="22"/>
        </w:rPr>
      </w:pPr>
    </w:p>
    <w:p w14:paraId="76159A91" w14:textId="77777777" w:rsidR="004D76CB" w:rsidRPr="000E3060" w:rsidRDefault="004D76CB" w:rsidP="004D76CB">
      <w:pPr>
        <w:rPr>
          <w:rFonts w:ascii="Arial" w:hAnsi="Arial" w:cs="Arial"/>
          <w:sz w:val="22"/>
          <w:szCs w:val="22"/>
        </w:rPr>
      </w:pPr>
      <w:r w:rsidRPr="000E3060">
        <w:rPr>
          <w:rFonts w:ascii="Arial" w:hAnsi="Arial" w:cs="Arial"/>
          <w:sz w:val="22"/>
          <w:szCs w:val="22"/>
        </w:rPr>
        <w:t xml:space="preserve">We refer you to our submission on occupancy thresholds and our open letter to the Minister re the same. </w:t>
      </w:r>
      <w:hyperlink r:id="rId9" w:history="1">
        <w:r w:rsidRPr="000E3060">
          <w:rPr>
            <w:rStyle w:val="Hyperlink"/>
            <w:rFonts w:ascii="Arial" w:hAnsi="Arial" w:cs="Arial"/>
            <w:sz w:val="22"/>
            <w:szCs w:val="22"/>
          </w:rPr>
          <w:t>https://www.wta.org.uk/uploads/8/3/7/1/83716138/wta_open_letter_030222.docx</w:t>
        </w:r>
      </w:hyperlink>
    </w:p>
    <w:p w14:paraId="35D79F2B" w14:textId="77777777" w:rsidR="004D76CB" w:rsidRPr="000E3060" w:rsidRDefault="004D76CB" w:rsidP="004D76CB">
      <w:pPr>
        <w:rPr>
          <w:rFonts w:ascii="Arial" w:hAnsi="Arial" w:cs="Arial"/>
          <w:color w:val="FF00FF"/>
          <w:sz w:val="22"/>
          <w:szCs w:val="22"/>
        </w:rPr>
      </w:pPr>
      <w:r w:rsidRPr="000E3060">
        <w:rPr>
          <w:rFonts w:ascii="Arial" w:hAnsi="Arial" w:cs="Arial"/>
          <w:sz w:val="22"/>
          <w:szCs w:val="22"/>
        </w:rPr>
        <w:t xml:space="preserve">Response to second home consultation </w:t>
      </w:r>
      <w:hyperlink r:id="rId10" w:history="1">
        <w:r w:rsidRPr="000E3060">
          <w:rPr>
            <w:rStyle w:val="Hyperlink"/>
            <w:rFonts w:ascii="Arial" w:hAnsi="Arial" w:cs="Arial"/>
            <w:sz w:val="22"/>
            <w:szCs w:val="22"/>
          </w:rPr>
          <w:t>https://www.wta.org.uk/uploads/8/3/7/1/83716138/wta_response_wg_2nd_homes_consultation_300921.docx</w:t>
        </w:r>
      </w:hyperlink>
    </w:p>
    <w:p w14:paraId="2C01FD14" w14:textId="77777777" w:rsidR="004D76CB" w:rsidRPr="000E3060" w:rsidRDefault="004D76CB" w:rsidP="004D76CB">
      <w:pPr>
        <w:rPr>
          <w:rFonts w:ascii="Arial" w:hAnsi="Arial" w:cs="Arial"/>
          <w:color w:val="FF00FF"/>
          <w:sz w:val="22"/>
          <w:szCs w:val="22"/>
        </w:rPr>
      </w:pPr>
    </w:p>
    <w:p w14:paraId="6356B48A" w14:textId="77777777" w:rsidR="004D76CB" w:rsidRPr="000E3060" w:rsidRDefault="004D76CB" w:rsidP="004D76CB">
      <w:pPr>
        <w:rPr>
          <w:rFonts w:ascii="Arial" w:hAnsi="Arial" w:cs="Arial"/>
          <w:color w:val="1F1F1F"/>
          <w:sz w:val="22"/>
          <w:szCs w:val="22"/>
        </w:rPr>
      </w:pPr>
      <w:r w:rsidRPr="000E3060">
        <w:rPr>
          <w:rFonts w:ascii="Arial" w:hAnsi="Arial" w:cs="Arial"/>
          <w:color w:val="1F1F1F"/>
          <w:sz w:val="22"/>
          <w:szCs w:val="22"/>
        </w:rPr>
        <w:t>Those proposals will also act as a deterrent to local business activity without any assessment made on potential loss of tax income and any assessment on the release of suitable properties back into domestic, affordable housing stock.</w:t>
      </w:r>
    </w:p>
    <w:p w14:paraId="10590EE4" w14:textId="77777777" w:rsidR="004D76CB" w:rsidRPr="000E3060" w:rsidRDefault="004D76CB" w:rsidP="004D76CB">
      <w:pPr>
        <w:pStyle w:val="Heading4"/>
        <w:keepNext w:val="0"/>
        <w:pBdr>
          <w:top w:val="none" w:sz="0" w:space="15" w:color="auto"/>
        </w:pBdr>
        <w:shd w:val="clear" w:color="auto" w:fill="FFFFFF"/>
        <w:spacing w:after="380"/>
        <w:rPr>
          <w:b w:val="0"/>
          <w:color w:val="1F1F1F"/>
          <w:sz w:val="22"/>
          <w:szCs w:val="22"/>
        </w:rPr>
      </w:pPr>
      <w:bookmarkStart w:id="7" w:name="_op7hlc8f87v1" w:colFirst="0" w:colLast="0"/>
      <w:bookmarkEnd w:id="7"/>
      <w:r w:rsidRPr="000E3060">
        <w:rPr>
          <w:color w:val="1F1F1F"/>
          <w:sz w:val="22"/>
          <w:szCs w:val="22"/>
        </w:rPr>
        <w:t>Q13 If a property was bought where the buyer’s intention was to use it as a second home or short-term holiday let but it is not then used in this way, do you think the taxpayer should be able to claim a refund of the additional tax?</w:t>
      </w:r>
    </w:p>
    <w:p w14:paraId="439D04DD" w14:textId="77777777" w:rsidR="004D76CB" w:rsidRPr="000E3060" w:rsidRDefault="004D76CB" w:rsidP="004D76CB">
      <w:pPr>
        <w:rPr>
          <w:rFonts w:ascii="Arial" w:hAnsi="Arial" w:cs="Arial"/>
          <w:color w:val="1F1F1F"/>
          <w:sz w:val="22"/>
          <w:szCs w:val="22"/>
        </w:rPr>
      </w:pPr>
      <w:r w:rsidRPr="000E3060">
        <w:rPr>
          <w:rFonts w:ascii="Arial" w:hAnsi="Arial" w:cs="Arial"/>
          <w:color w:val="1F1F1F"/>
          <w:sz w:val="22"/>
          <w:szCs w:val="22"/>
        </w:rPr>
        <w:lastRenderedPageBreak/>
        <w:t>In the unlikely event that a business (let alone a second home) becomes a primary residence, this would seem fair. How would you deal with flipping without incurring extra cost to check claims?</w:t>
      </w:r>
    </w:p>
    <w:p w14:paraId="79D0696C" w14:textId="77777777" w:rsidR="004D76CB" w:rsidRPr="000E3060" w:rsidRDefault="004D76CB" w:rsidP="004D76CB">
      <w:pPr>
        <w:rPr>
          <w:rFonts w:ascii="Arial" w:hAnsi="Arial" w:cs="Arial"/>
          <w:color w:val="1F1F1F"/>
          <w:sz w:val="22"/>
          <w:szCs w:val="22"/>
        </w:rPr>
      </w:pPr>
    </w:p>
    <w:p w14:paraId="4B695DF4" w14:textId="77777777" w:rsidR="004D76CB" w:rsidRPr="000E3060" w:rsidRDefault="004D76CB" w:rsidP="004D76CB">
      <w:pPr>
        <w:pStyle w:val="Heading4"/>
        <w:keepNext w:val="0"/>
        <w:pBdr>
          <w:top w:val="none" w:sz="0" w:space="15" w:color="auto"/>
        </w:pBdr>
        <w:shd w:val="clear" w:color="auto" w:fill="FFFFFF"/>
        <w:spacing w:after="380"/>
        <w:rPr>
          <w:b w:val="0"/>
          <w:color w:val="1F1F1F"/>
          <w:sz w:val="22"/>
          <w:szCs w:val="22"/>
        </w:rPr>
      </w:pPr>
      <w:bookmarkStart w:id="8" w:name="_gzmbuwyxet1" w:colFirst="0" w:colLast="0"/>
      <w:bookmarkEnd w:id="8"/>
      <w:r w:rsidRPr="000E3060">
        <w:rPr>
          <w:color w:val="1F1F1F"/>
          <w:sz w:val="22"/>
          <w:szCs w:val="22"/>
        </w:rPr>
        <w:t>Q16. What effects do you think these proposals may have on the Welsh language and communities who predominately use Welsh? How could positive effects be increased, or negative effects mitigated?</w:t>
      </w:r>
    </w:p>
    <w:p w14:paraId="24462E16" w14:textId="77777777" w:rsidR="004D76CB" w:rsidRPr="000E3060" w:rsidRDefault="004D76CB" w:rsidP="004D76CB">
      <w:pPr>
        <w:rPr>
          <w:rFonts w:ascii="Arial" w:hAnsi="Arial" w:cs="Arial"/>
          <w:color w:val="1F1F1F"/>
          <w:sz w:val="22"/>
          <w:szCs w:val="22"/>
        </w:rPr>
      </w:pPr>
      <w:r w:rsidRPr="000E3060">
        <w:rPr>
          <w:rFonts w:ascii="Arial" w:hAnsi="Arial" w:cs="Arial"/>
          <w:color w:val="1F1F1F"/>
          <w:sz w:val="22"/>
          <w:szCs w:val="22"/>
        </w:rPr>
        <w:t>On the basis that this closes down opportunity for new, locally-owned business and restricts the market to wealthier ‘outsiders’, it will have a negative effect on retaining/growing Welsh language use in particular communities.</w:t>
      </w:r>
    </w:p>
    <w:p w14:paraId="3362D0AB" w14:textId="77777777" w:rsidR="004D76CB" w:rsidRPr="000E3060" w:rsidRDefault="004D76CB" w:rsidP="004D76CB">
      <w:pPr>
        <w:rPr>
          <w:rFonts w:ascii="Arial" w:hAnsi="Arial" w:cs="Arial"/>
          <w:color w:val="1F1F1F"/>
          <w:sz w:val="22"/>
          <w:szCs w:val="22"/>
        </w:rPr>
      </w:pPr>
    </w:p>
    <w:p w14:paraId="70EBFF51" w14:textId="77777777" w:rsidR="004D76CB" w:rsidRPr="000E3060" w:rsidRDefault="004D76CB" w:rsidP="004D76CB">
      <w:pPr>
        <w:rPr>
          <w:rFonts w:ascii="Arial" w:hAnsi="Arial" w:cs="Arial"/>
          <w:color w:val="1F1F1F"/>
          <w:sz w:val="22"/>
          <w:szCs w:val="22"/>
        </w:rPr>
      </w:pPr>
      <w:r w:rsidRPr="000E3060">
        <w:rPr>
          <w:rFonts w:ascii="Arial" w:hAnsi="Arial" w:cs="Arial"/>
          <w:color w:val="1F1F1F"/>
          <w:sz w:val="22"/>
          <w:szCs w:val="22"/>
        </w:rPr>
        <w:t>Mitigation:</w:t>
      </w:r>
    </w:p>
    <w:p w14:paraId="28AEC668" w14:textId="77777777" w:rsidR="004D76CB" w:rsidRPr="000E3060" w:rsidRDefault="004D76CB" w:rsidP="004D76CB">
      <w:pPr>
        <w:rPr>
          <w:rFonts w:ascii="Arial" w:hAnsi="Arial" w:cs="Arial"/>
          <w:color w:val="1F1F1F"/>
          <w:sz w:val="22"/>
          <w:szCs w:val="22"/>
        </w:rPr>
      </w:pPr>
    </w:p>
    <w:p w14:paraId="53FE408C" w14:textId="52FC90CB" w:rsidR="004D76CB" w:rsidRPr="000E3060" w:rsidRDefault="004D76CB" w:rsidP="004D76CB">
      <w:pPr>
        <w:rPr>
          <w:rFonts w:ascii="Arial" w:hAnsi="Arial" w:cs="Arial"/>
          <w:color w:val="1F1F1F"/>
          <w:sz w:val="22"/>
          <w:szCs w:val="22"/>
        </w:rPr>
      </w:pPr>
      <w:r w:rsidRPr="000E3060">
        <w:rPr>
          <w:rFonts w:ascii="Arial" w:hAnsi="Arial" w:cs="Arial"/>
          <w:color w:val="1F1F1F"/>
          <w:sz w:val="22"/>
          <w:szCs w:val="22"/>
        </w:rPr>
        <w:t>Build more modern, efficient affordable homes in Welsh speaking communities.  This to include a % with local occupancy (not ownership) restrictions</w:t>
      </w:r>
      <w:r w:rsidR="00AD3B84" w:rsidRPr="000E3060">
        <w:rPr>
          <w:rFonts w:ascii="Arial" w:hAnsi="Arial" w:cs="Arial"/>
          <w:color w:val="1F1F1F"/>
          <w:sz w:val="22"/>
          <w:szCs w:val="22"/>
        </w:rPr>
        <w:t>.</w:t>
      </w:r>
    </w:p>
    <w:p w14:paraId="3E4B97AF" w14:textId="77777777" w:rsidR="00AD3B84" w:rsidRPr="000E3060" w:rsidRDefault="00AD3B84" w:rsidP="004D76CB">
      <w:pPr>
        <w:rPr>
          <w:rFonts w:ascii="Arial" w:hAnsi="Arial" w:cs="Arial"/>
          <w:color w:val="1F1F1F"/>
          <w:sz w:val="22"/>
          <w:szCs w:val="22"/>
        </w:rPr>
      </w:pPr>
    </w:p>
    <w:p w14:paraId="5BFF209C" w14:textId="1E55CFC9" w:rsidR="004D76CB" w:rsidRPr="000E3060" w:rsidRDefault="004D76CB" w:rsidP="004D76CB">
      <w:pPr>
        <w:rPr>
          <w:rFonts w:ascii="Arial" w:hAnsi="Arial" w:cs="Arial"/>
          <w:color w:val="1F1F1F"/>
          <w:sz w:val="22"/>
          <w:szCs w:val="22"/>
        </w:rPr>
      </w:pPr>
      <w:r w:rsidRPr="000E3060">
        <w:rPr>
          <w:rFonts w:ascii="Arial" w:hAnsi="Arial" w:cs="Arial"/>
          <w:color w:val="1F1F1F"/>
          <w:sz w:val="22"/>
          <w:szCs w:val="22"/>
        </w:rPr>
        <w:t xml:space="preserve">Provide incentives to locals to upgrade </w:t>
      </w:r>
      <w:r w:rsidRPr="000E3060">
        <w:rPr>
          <w:rFonts w:ascii="Arial" w:hAnsi="Arial" w:cs="Arial"/>
          <w:b/>
          <w:color w:val="1F1F1F"/>
          <w:sz w:val="22"/>
          <w:szCs w:val="22"/>
        </w:rPr>
        <w:t xml:space="preserve">suitable </w:t>
      </w:r>
      <w:r w:rsidRPr="000E3060">
        <w:rPr>
          <w:rFonts w:ascii="Arial" w:hAnsi="Arial" w:cs="Arial"/>
          <w:color w:val="1F1F1F"/>
          <w:sz w:val="22"/>
          <w:szCs w:val="22"/>
        </w:rPr>
        <w:t>empty homes to make them more attractive to buy (</w:t>
      </w:r>
      <w:r w:rsidR="001122D7" w:rsidRPr="000E3060">
        <w:rPr>
          <w:rFonts w:ascii="Arial" w:hAnsi="Arial" w:cs="Arial"/>
          <w:color w:val="1F1F1F"/>
          <w:sz w:val="22"/>
          <w:szCs w:val="22"/>
        </w:rPr>
        <w:t>e.g.</w:t>
      </w:r>
      <w:r w:rsidRPr="000E3060">
        <w:rPr>
          <w:rFonts w:ascii="Arial" w:hAnsi="Arial" w:cs="Arial"/>
          <w:color w:val="1F1F1F"/>
          <w:sz w:val="22"/>
          <w:szCs w:val="22"/>
        </w:rPr>
        <w:t xml:space="preserve">, extend Help </w:t>
      </w:r>
      <w:proofErr w:type="gramStart"/>
      <w:r w:rsidRPr="000E3060">
        <w:rPr>
          <w:rFonts w:ascii="Arial" w:hAnsi="Arial" w:cs="Arial"/>
          <w:color w:val="1F1F1F"/>
          <w:sz w:val="22"/>
          <w:szCs w:val="22"/>
        </w:rPr>
        <w:t>To</w:t>
      </w:r>
      <w:proofErr w:type="gramEnd"/>
      <w:r w:rsidRPr="000E3060">
        <w:rPr>
          <w:rFonts w:ascii="Arial" w:hAnsi="Arial" w:cs="Arial"/>
          <w:color w:val="1F1F1F"/>
          <w:sz w:val="22"/>
          <w:szCs w:val="22"/>
        </w:rPr>
        <w:t xml:space="preserve"> Buy to doer-uppers)</w:t>
      </w:r>
      <w:r w:rsidR="00AD3B84" w:rsidRPr="000E3060">
        <w:rPr>
          <w:rFonts w:ascii="Arial" w:hAnsi="Arial" w:cs="Arial"/>
          <w:color w:val="1F1F1F"/>
          <w:sz w:val="22"/>
          <w:szCs w:val="22"/>
        </w:rPr>
        <w:t>.</w:t>
      </w:r>
    </w:p>
    <w:p w14:paraId="6592F422" w14:textId="77777777" w:rsidR="004D76CB" w:rsidRPr="000E3060" w:rsidRDefault="004D76CB" w:rsidP="004D76CB">
      <w:pPr>
        <w:rPr>
          <w:rFonts w:ascii="Arial" w:hAnsi="Arial" w:cs="Arial"/>
          <w:color w:val="1F1F1F"/>
          <w:sz w:val="22"/>
          <w:szCs w:val="22"/>
        </w:rPr>
      </w:pPr>
    </w:p>
    <w:p w14:paraId="51ACB908" w14:textId="77777777" w:rsidR="004D76CB" w:rsidRPr="000E3060" w:rsidRDefault="004D76CB" w:rsidP="004D76CB">
      <w:pPr>
        <w:rPr>
          <w:rFonts w:ascii="Arial" w:hAnsi="Arial" w:cs="Arial"/>
          <w:color w:val="1F1F1F"/>
          <w:sz w:val="22"/>
          <w:szCs w:val="22"/>
        </w:rPr>
      </w:pPr>
    </w:p>
    <w:p w14:paraId="09E78E51" w14:textId="03F136DD" w:rsidR="00C217FC" w:rsidRPr="000E3060" w:rsidRDefault="00C217FC" w:rsidP="008863C9">
      <w:pPr>
        <w:pStyle w:val="ListParagraph"/>
        <w:shd w:val="clear" w:color="auto" w:fill="FFFFFF"/>
        <w:spacing w:after="120"/>
        <w:ind w:left="0"/>
        <w:rPr>
          <w:rFonts w:ascii="Arial" w:hAnsi="Arial" w:cs="Arial"/>
          <w:sz w:val="22"/>
          <w:szCs w:val="22"/>
        </w:rPr>
      </w:pPr>
    </w:p>
    <w:p w14:paraId="57D27E25" w14:textId="5D95D68D" w:rsidR="00B320DF" w:rsidRPr="000E3060" w:rsidRDefault="01FF707E" w:rsidP="01FF707E">
      <w:pPr>
        <w:pStyle w:val="ListParagraph"/>
        <w:shd w:val="clear" w:color="auto" w:fill="FFFFFF" w:themeFill="background1"/>
        <w:spacing w:after="120"/>
        <w:ind w:left="0"/>
        <w:rPr>
          <w:rFonts w:ascii="Arial" w:hAnsi="Arial" w:cs="Arial"/>
          <w:b/>
          <w:bCs/>
          <w:i/>
          <w:iCs/>
          <w:sz w:val="22"/>
          <w:szCs w:val="22"/>
        </w:rPr>
      </w:pPr>
      <w:r w:rsidRPr="000E3060">
        <w:rPr>
          <w:rFonts w:ascii="Arial" w:hAnsi="Arial" w:cs="Arial"/>
          <w:b/>
          <w:bCs/>
          <w:i/>
          <w:iCs/>
          <w:sz w:val="22"/>
          <w:szCs w:val="22"/>
        </w:rPr>
        <w:t xml:space="preserve">Wales Tourism Alliance – </w:t>
      </w:r>
      <w:r w:rsidR="004D76CB" w:rsidRPr="000E3060">
        <w:rPr>
          <w:rFonts w:ascii="Arial" w:hAnsi="Arial" w:cs="Arial"/>
          <w:b/>
          <w:bCs/>
          <w:i/>
          <w:iCs/>
          <w:sz w:val="22"/>
          <w:szCs w:val="22"/>
        </w:rPr>
        <w:t>28/03/2022</w:t>
      </w:r>
    </w:p>
    <w:sectPr w:rsidR="00B320DF" w:rsidRPr="000E3060" w:rsidSect="00E41A0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779E" w14:textId="77777777" w:rsidR="00CC53BE" w:rsidRDefault="00CC53BE" w:rsidP="003A53D3">
      <w:r>
        <w:separator/>
      </w:r>
    </w:p>
  </w:endnote>
  <w:endnote w:type="continuationSeparator" w:id="0">
    <w:p w14:paraId="20A4032E" w14:textId="77777777" w:rsidR="00CC53BE" w:rsidRDefault="00CC53BE" w:rsidP="003A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0704" w14:textId="77777777" w:rsidR="00CC53BE" w:rsidRDefault="00CC53BE" w:rsidP="003A53D3">
      <w:r>
        <w:separator/>
      </w:r>
    </w:p>
  </w:footnote>
  <w:footnote w:type="continuationSeparator" w:id="0">
    <w:p w14:paraId="5805771E" w14:textId="77777777" w:rsidR="00CC53BE" w:rsidRDefault="00CC53BE" w:rsidP="003A53D3">
      <w:r>
        <w:continuationSeparator/>
      </w:r>
    </w:p>
  </w:footnote>
</w:footnotes>
</file>

<file path=word/intelligence.xml><?xml version="1.0" encoding="utf-8"?>
<int:Intelligence xmlns:int="http://schemas.microsoft.com/office/intelligence/2019/intelligence">
  <int:IntelligenceSettings/>
  <int:Manifest>
    <int:WordHash hashCode="BC3EUS+j05HFFw" id="FgNpCqSD"/>
  </int:Manifest>
  <int:Observations>
    <int:Content id="FgNpCqS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643B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EBA54B2"/>
    <w:multiLevelType w:val="multilevel"/>
    <w:tmpl w:val="F7CABCFE"/>
    <w:lvl w:ilvl="0">
      <w:start w:val="1"/>
      <w:numFmt w:val="bullet"/>
      <w:lvlText w:val="●"/>
      <w:lvlJc w:val="left"/>
      <w:pPr>
        <w:ind w:left="720" w:hanging="360"/>
      </w:pPr>
      <w:rPr>
        <w:rFonts w:ascii="Arial" w:eastAsia="Arial" w:hAnsi="Arial" w:cs="Arial"/>
        <w:color w:val="1F1F1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13D82"/>
    <w:multiLevelType w:val="multilevel"/>
    <w:tmpl w:val="B2F26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93FAB"/>
    <w:multiLevelType w:val="hybridMultilevel"/>
    <w:tmpl w:val="EB548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1D4BC2"/>
    <w:multiLevelType w:val="multilevel"/>
    <w:tmpl w:val="081A3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B57FD9"/>
    <w:multiLevelType w:val="multilevel"/>
    <w:tmpl w:val="16366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6C"/>
    <w:rsid w:val="00001385"/>
    <w:rsid w:val="0001398B"/>
    <w:rsid w:val="00015528"/>
    <w:rsid w:val="00022D1A"/>
    <w:rsid w:val="00027545"/>
    <w:rsid w:val="00027CB0"/>
    <w:rsid w:val="00037D69"/>
    <w:rsid w:val="00042329"/>
    <w:rsid w:val="0006495B"/>
    <w:rsid w:val="0007290A"/>
    <w:rsid w:val="0007360E"/>
    <w:rsid w:val="000B4196"/>
    <w:rsid w:val="000D3A35"/>
    <w:rsid w:val="000E3060"/>
    <w:rsid w:val="001122D7"/>
    <w:rsid w:val="00126E6B"/>
    <w:rsid w:val="00135DBA"/>
    <w:rsid w:val="0014189B"/>
    <w:rsid w:val="00155A71"/>
    <w:rsid w:val="00162FCC"/>
    <w:rsid w:val="001746AC"/>
    <w:rsid w:val="00183B45"/>
    <w:rsid w:val="00196C19"/>
    <w:rsid w:val="001F5F24"/>
    <w:rsid w:val="00205F74"/>
    <w:rsid w:val="00207D61"/>
    <w:rsid w:val="00231588"/>
    <w:rsid w:val="002479FA"/>
    <w:rsid w:val="0026608E"/>
    <w:rsid w:val="002669F0"/>
    <w:rsid w:val="002C470D"/>
    <w:rsid w:val="002C5F92"/>
    <w:rsid w:val="002E2308"/>
    <w:rsid w:val="002F52FA"/>
    <w:rsid w:val="002F5A0A"/>
    <w:rsid w:val="00300163"/>
    <w:rsid w:val="003046F5"/>
    <w:rsid w:val="00320C20"/>
    <w:rsid w:val="00331BFE"/>
    <w:rsid w:val="0034489B"/>
    <w:rsid w:val="0035013C"/>
    <w:rsid w:val="003A1661"/>
    <w:rsid w:val="003A3A23"/>
    <w:rsid w:val="003A53D3"/>
    <w:rsid w:val="003A6024"/>
    <w:rsid w:val="003B248E"/>
    <w:rsid w:val="003E0550"/>
    <w:rsid w:val="004257F1"/>
    <w:rsid w:val="00444077"/>
    <w:rsid w:val="004719A7"/>
    <w:rsid w:val="004B1D98"/>
    <w:rsid w:val="004D76CB"/>
    <w:rsid w:val="004E1692"/>
    <w:rsid w:val="004E5D77"/>
    <w:rsid w:val="004F6C43"/>
    <w:rsid w:val="005045C2"/>
    <w:rsid w:val="00540172"/>
    <w:rsid w:val="005467B7"/>
    <w:rsid w:val="00573E8C"/>
    <w:rsid w:val="005870C6"/>
    <w:rsid w:val="005A4495"/>
    <w:rsid w:val="005E7FD0"/>
    <w:rsid w:val="00605BD6"/>
    <w:rsid w:val="006109B3"/>
    <w:rsid w:val="006200EB"/>
    <w:rsid w:val="006268B6"/>
    <w:rsid w:val="006816F7"/>
    <w:rsid w:val="00684A7B"/>
    <w:rsid w:val="00685F5E"/>
    <w:rsid w:val="00693A6C"/>
    <w:rsid w:val="006B19F1"/>
    <w:rsid w:val="006B768C"/>
    <w:rsid w:val="006C25F5"/>
    <w:rsid w:val="006C3533"/>
    <w:rsid w:val="006C7EC2"/>
    <w:rsid w:val="006D4ADC"/>
    <w:rsid w:val="006F4C73"/>
    <w:rsid w:val="007130F3"/>
    <w:rsid w:val="0071342D"/>
    <w:rsid w:val="00722388"/>
    <w:rsid w:val="00756983"/>
    <w:rsid w:val="00761057"/>
    <w:rsid w:val="0078194A"/>
    <w:rsid w:val="00791437"/>
    <w:rsid w:val="007A4D71"/>
    <w:rsid w:val="007B0A9C"/>
    <w:rsid w:val="007C2046"/>
    <w:rsid w:val="00802B3A"/>
    <w:rsid w:val="0084168E"/>
    <w:rsid w:val="00843DAC"/>
    <w:rsid w:val="00846EFA"/>
    <w:rsid w:val="00883466"/>
    <w:rsid w:val="008863C9"/>
    <w:rsid w:val="0089282B"/>
    <w:rsid w:val="008B63F0"/>
    <w:rsid w:val="008D4A69"/>
    <w:rsid w:val="008D781E"/>
    <w:rsid w:val="008D7CC5"/>
    <w:rsid w:val="0090739A"/>
    <w:rsid w:val="0091474E"/>
    <w:rsid w:val="00942EA4"/>
    <w:rsid w:val="0095102A"/>
    <w:rsid w:val="00985589"/>
    <w:rsid w:val="0099009D"/>
    <w:rsid w:val="009E6CAB"/>
    <w:rsid w:val="009F4B70"/>
    <w:rsid w:val="00A2659B"/>
    <w:rsid w:val="00A35E39"/>
    <w:rsid w:val="00A5230D"/>
    <w:rsid w:val="00A54B87"/>
    <w:rsid w:val="00A77BB4"/>
    <w:rsid w:val="00AD02DE"/>
    <w:rsid w:val="00AD2FF1"/>
    <w:rsid w:val="00AD3B84"/>
    <w:rsid w:val="00AF0E5A"/>
    <w:rsid w:val="00AF1E95"/>
    <w:rsid w:val="00B24CCB"/>
    <w:rsid w:val="00B2502A"/>
    <w:rsid w:val="00B25468"/>
    <w:rsid w:val="00B2757C"/>
    <w:rsid w:val="00B320DF"/>
    <w:rsid w:val="00B628B1"/>
    <w:rsid w:val="00B74C45"/>
    <w:rsid w:val="00BA7AB1"/>
    <w:rsid w:val="00BB3F92"/>
    <w:rsid w:val="00BB6437"/>
    <w:rsid w:val="00BC6812"/>
    <w:rsid w:val="00BE3753"/>
    <w:rsid w:val="00BF0189"/>
    <w:rsid w:val="00BF5220"/>
    <w:rsid w:val="00C04E7A"/>
    <w:rsid w:val="00C07544"/>
    <w:rsid w:val="00C137CF"/>
    <w:rsid w:val="00C162E5"/>
    <w:rsid w:val="00C16FE7"/>
    <w:rsid w:val="00C21397"/>
    <w:rsid w:val="00C217FC"/>
    <w:rsid w:val="00C2451F"/>
    <w:rsid w:val="00C254B9"/>
    <w:rsid w:val="00C578F0"/>
    <w:rsid w:val="00C61F94"/>
    <w:rsid w:val="00C64057"/>
    <w:rsid w:val="00C96777"/>
    <w:rsid w:val="00CA0ED5"/>
    <w:rsid w:val="00CA281D"/>
    <w:rsid w:val="00CC53BE"/>
    <w:rsid w:val="00CD6B33"/>
    <w:rsid w:val="00CE1D08"/>
    <w:rsid w:val="00CE4BD2"/>
    <w:rsid w:val="00CF5D4F"/>
    <w:rsid w:val="00D0255F"/>
    <w:rsid w:val="00D10A7F"/>
    <w:rsid w:val="00D1240A"/>
    <w:rsid w:val="00D154AD"/>
    <w:rsid w:val="00D32EF3"/>
    <w:rsid w:val="00D4440B"/>
    <w:rsid w:val="00D92AAB"/>
    <w:rsid w:val="00D950A2"/>
    <w:rsid w:val="00DD300C"/>
    <w:rsid w:val="00DF18EC"/>
    <w:rsid w:val="00E3294A"/>
    <w:rsid w:val="00E41A07"/>
    <w:rsid w:val="00E455BF"/>
    <w:rsid w:val="00E708E5"/>
    <w:rsid w:val="00E72B9B"/>
    <w:rsid w:val="00E773F7"/>
    <w:rsid w:val="00EA0A2C"/>
    <w:rsid w:val="00EA354F"/>
    <w:rsid w:val="00ED0F44"/>
    <w:rsid w:val="00EE317F"/>
    <w:rsid w:val="00F232FD"/>
    <w:rsid w:val="00F26B48"/>
    <w:rsid w:val="00F339DC"/>
    <w:rsid w:val="00F44903"/>
    <w:rsid w:val="00F72AC2"/>
    <w:rsid w:val="00F762FA"/>
    <w:rsid w:val="00FA5D92"/>
    <w:rsid w:val="00FB4465"/>
    <w:rsid w:val="00FD0E0F"/>
    <w:rsid w:val="00FD26DD"/>
    <w:rsid w:val="00FD3A8D"/>
    <w:rsid w:val="00FE2D27"/>
    <w:rsid w:val="01FF707E"/>
    <w:rsid w:val="103901B1"/>
    <w:rsid w:val="2E84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9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A07"/>
    <w:rPr>
      <w:rFonts w:eastAsia="Times New Roman"/>
      <w:sz w:val="24"/>
      <w:szCs w:val="24"/>
      <w:lang w:eastAsia="en-US"/>
    </w:rPr>
  </w:style>
  <w:style w:type="paragraph" w:styleId="Heading1">
    <w:name w:val="heading 1"/>
    <w:basedOn w:val="Normal"/>
    <w:next w:val="Normal"/>
    <w:link w:val="Heading1Char"/>
    <w:uiPriority w:val="9"/>
    <w:qFormat/>
    <w:rsid w:val="00C162E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41A07"/>
    <w:pPr>
      <w:keepNext/>
      <w:jc w:val="center"/>
      <w:outlineLvl w:val="1"/>
    </w:pPr>
    <w:rPr>
      <w:rFonts w:ascii="Arial" w:hAnsi="Arial"/>
      <w:b/>
      <w:szCs w:val="20"/>
      <w:lang w:val="en-US" w:eastAsia="en-GB"/>
    </w:rPr>
  </w:style>
  <w:style w:type="paragraph" w:styleId="Heading3">
    <w:name w:val="heading 3"/>
    <w:basedOn w:val="Normal"/>
    <w:next w:val="Normal"/>
    <w:qFormat/>
    <w:rsid w:val="00E41A07"/>
    <w:pPr>
      <w:keepNext/>
      <w:outlineLvl w:val="2"/>
    </w:pPr>
    <w:rPr>
      <w:rFonts w:ascii="Arial" w:hAnsi="Arial" w:cs="Arial"/>
      <w:b/>
      <w:bCs/>
    </w:rPr>
  </w:style>
  <w:style w:type="paragraph" w:styleId="Heading4">
    <w:name w:val="heading 4"/>
    <w:basedOn w:val="Normal"/>
    <w:next w:val="Normal"/>
    <w:qFormat/>
    <w:rsid w:val="00E41A07"/>
    <w:pPr>
      <w:keepNext/>
      <w:outlineLvl w:val="3"/>
    </w:pPr>
    <w:rPr>
      <w:rFonts w:ascii="Arial" w:hAnsi="Arial" w:cs="Arial"/>
      <w:b/>
      <w:bCs/>
      <w:i/>
      <w:iCs/>
      <w:szCs w:val="28"/>
    </w:rPr>
  </w:style>
  <w:style w:type="paragraph" w:styleId="Heading5">
    <w:name w:val="heading 5"/>
    <w:basedOn w:val="Normal"/>
    <w:next w:val="Normal"/>
    <w:qFormat/>
    <w:rsid w:val="00E41A07"/>
    <w:pPr>
      <w:keepNext/>
      <w:autoSpaceDE w:val="0"/>
      <w:autoSpaceDN w:val="0"/>
      <w:adjustRightInd w:val="0"/>
      <w:jc w:val="center"/>
      <w:outlineLvl w:val="4"/>
    </w:pPr>
    <w:rPr>
      <w:rFonts w:ascii="Arial" w:hAnsi="Arial" w:cs="Arial"/>
      <w:b/>
      <w:bCs/>
      <w:sz w:val="36"/>
      <w:szCs w:val="22"/>
      <w:lang w:val="en-US"/>
    </w:rPr>
  </w:style>
  <w:style w:type="paragraph" w:styleId="Heading6">
    <w:name w:val="heading 6"/>
    <w:basedOn w:val="Normal"/>
    <w:next w:val="Normal"/>
    <w:qFormat/>
    <w:rsid w:val="00E41A07"/>
    <w:pPr>
      <w:keepNext/>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41A07"/>
    <w:pPr>
      <w:autoSpaceDE w:val="0"/>
      <w:autoSpaceDN w:val="0"/>
      <w:adjustRightInd w:val="0"/>
      <w:jc w:val="center"/>
    </w:pPr>
    <w:rPr>
      <w:rFonts w:ascii="Arial" w:hAnsi="Arial" w:cs="Arial"/>
      <w:sz w:val="22"/>
      <w:szCs w:val="22"/>
      <w:lang w:val="en-US"/>
    </w:rPr>
  </w:style>
  <w:style w:type="character" w:styleId="Hyperlink">
    <w:name w:val="Hyperlink"/>
    <w:semiHidden/>
    <w:rsid w:val="00E41A07"/>
    <w:rPr>
      <w:color w:val="0000FF"/>
      <w:u w:val="single"/>
    </w:rPr>
  </w:style>
  <w:style w:type="paragraph" w:customStyle="1" w:styleId="Default">
    <w:name w:val="Default"/>
    <w:rsid w:val="00E41A07"/>
    <w:pPr>
      <w:autoSpaceDE w:val="0"/>
      <w:autoSpaceDN w:val="0"/>
      <w:adjustRightInd w:val="0"/>
    </w:pPr>
    <w:rPr>
      <w:rFonts w:ascii="Arial" w:eastAsia="Times New Roman" w:hAnsi="Arial" w:cs="Arial"/>
      <w:color w:val="000000"/>
      <w:sz w:val="24"/>
      <w:szCs w:val="24"/>
      <w:lang w:val="en-US" w:eastAsia="en-US"/>
    </w:rPr>
  </w:style>
  <w:style w:type="paragraph" w:styleId="Caption">
    <w:name w:val="caption"/>
    <w:basedOn w:val="Normal"/>
    <w:next w:val="Normal"/>
    <w:qFormat/>
    <w:rsid w:val="00E41A07"/>
    <w:rPr>
      <w:i/>
      <w:iCs/>
      <w:sz w:val="16"/>
    </w:rPr>
  </w:style>
  <w:style w:type="paragraph" w:styleId="BalloonText">
    <w:name w:val="Balloon Text"/>
    <w:basedOn w:val="Normal"/>
    <w:semiHidden/>
    <w:rsid w:val="00E41A07"/>
    <w:rPr>
      <w:rFonts w:ascii="Tahoma" w:hAnsi="Tahoma" w:cs="Tahoma"/>
      <w:sz w:val="16"/>
      <w:szCs w:val="16"/>
    </w:rPr>
  </w:style>
  <w:style w:type="paragraph" w:styleId="HTMLPreformatted">
    <w:name w:val="HTML Preformatted"/>
    <w:basedOn w:val="Normal"/>
    <w:semiHidden/>
    <w:rsid w:val="00E4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List">
    <w:name w:val="List"/>
    <w:basedOn w:val="Normal"/>
    <w:semiHidden/>
    <w:rsid w:val="00E41A07"/>
    <w:pPr>
      <w:ind w:left="283" w:hanging="283"/>
    </w:pPr>
  </w:style>
  <w:style w:type="paragraph" w:styleId="List2">
    <w:name w:val="List 2"/>
    <w:basedOn w:val="Normal"/>
    <w:semiHidden/>
    <w:rsid w:val="00E41A07"/>
    <w:pPr>
      <w:ind w:left="566" w:hanging="283"/>
    </w:pPr>
  </w:style>
  <w:style w:type="paragraph" w:styleId="List3">
    <w:name w:val="List 3"/>
    <w:basedOn w:val="Normal"/>
    <w:semiHidden/>
    <w:rsid w:val="00E41A07"/>
    <w:pPr>
      <w:ind w:left="849" w:hanging="283"/>
    </w:pPr>
  </w:style>
  <w:style w:type="paragraph" w:styleId="List4">
    <w:name w:val="List 4"/>
    <w:basedOn w:val="Normal"/>
    <w:semiHidden/>
    <w:rsid w:val="00E41A07"/>
    <w:pPr>
      <w:ind w:left="1132" w:hanging="283"/>
    </w:pPr>
  </w:style>
  <w:style w:type="paragraph" w:styleId="List5">
    <w:name w:val="List 5"/>
    <w:basedOn w:val="Normal"/>
    <w:semiHidden/>
    <w:rsid w:val="00E41A07"/>
    <w:pPr>
      <w:ind w:left="1415" w:hanging="283"/>
    </w:pPr>
  </w:style>
  <w:style w:type="paragraph" w:styleId="Date">
    <w:name w:val="Date"/>
    <w:basedOn w:val="Normal"/>
    <w:next w:val="Normal"/>
    <w:semiHidden/>
    <w:rsid w:val="00E41A07"/>
  </w:style>
  <w:style w:type="paragraph" w:styleId="ListBullet2">
    <w:name w:val="List Bullet 2"/>
    <w:basedOn w:val="Normal"/>
    <w:autoRedefine/>
    <w:semiHidden/>
    <w:rsid w:val="00E41A07"/>
    <w:pPr>
      <w:numPr>
        <w:numId w:val="1"/>
      </w:numPr>
    </w:pPr>
  </w:style>
  <w:style w:type="paragraph" w:styleId="ListContinue">
    <w:name w:val="List Continue"/>
    <w:basedOn w:val="Normal"/>
    <w:semiHidden/>
    <w:rsid w:val="00E41A07"/>
    <w:pPr>
      <w:spacing w:after="120"/>
      <w:ind w:left="283"/>
    </w:pPr>
  </w:style>
  <w:style w:type="paragraph" w:styleId="ListContinue2">
    <w:name w:val="List Continue 2"/>
    <w:basedOn w:val="Normal"/>
    <w:semiHidden/>
    <w:rsid w:val="00E41A07"/>
    <w:pPr>
      <w:spacing w:after="120"/>
      <w:ind w:left="566"/>
    </w:pPr>
  </w:style>
  <w:style w:type="paragraph" w:styleId="ListContinue4">
    <w:name w:val="List Continue 4"/>
    <w:basedOn w:val="Normal"/>
    <w:semiHidden/>
    <w:rsid w:val="00E41A07"/>
    <w:pPr>
      <w:spacing w:after="120"/>
      <w:ind w:left="1132"/>
    </w:pPr>
  </w:style>
  <w:style w:type="paragraph" w:styleId="ListContinue5">
    <w:name w:val="List Continue 5"/>
    <w:basedOn w:val="Normal"/>
    <w:semiHidden/>
    <w:rsid w:val="00E41A07"/>
    <w:pPr>
      <w:spacing w:after="120"/>
      <w:ind w:left="1415"/>
    </w:pPr>
  </w:style>
  <w:style w:type="paragraph" w:styleId="Subtitle">
    <w:name w:val="Subtitle"/>
    <w:basedOn w:val="Normal"/>
    <w:qFormat/>
    <w:rsid w:val="00E41A07"/>
    <w:pPr>
      <w:spacing w:after="60"/>
      <w:jc w:val="center"/>
      <w:outlineLvl w:val="1"/>
    </w:pPr>
    <w:rPr>
      <w:rFonts w:ascii="Arial" w:hAnsi="Arial" w:cs="Arial"/>
    </w:rPr>
  </w:style>
  <w:style w:type="paragraph" w:styleId="Footer">
    <w:name w:val="footer"/>
    <w:basedOn w:val="Normal"/>
    <w:unhideWhenUsed/>
    <w:rsid w:val="00E41A07"/>
    <w:pPr>
      <w:tabs>
        <w:tab w:val="center" w:pos="4513"/>
        <w:tab w:val="right" w:pos="9026"/>
      </w:tabs>
    </w:pPr>
  </w:style>
  <w:style w:type="character" w:customStyle="1" w:styleId="FooterChar">
    <w:name w:val="Footer Char"/>
    <w:semiHidden/>
    <w:rsid w:val="00E41A07"/>
    <w:rPr>
      <w:rFonts w:eastAsia="Times New Roman"/>
      <w:sz w:val="24"/>
      <w:szCs w:val="24"/>
      <w:lang w:eastAsia="en-US"/>
    </w:rPr>
  </w:style>
  <w:style w:type="paragraph" w:styleId="ListParagraph">
    <w:name w:val="List Paragraph"/>
    <w:basedOn w:val="Normal"/>
    <w:qFormat/>
    <w:rsid w:val="00E41A07"/>
    <w:pPr>
      <w:ind w:left="720"/>
    </w:pPr>
  </w:style>
  <w:style w:type="paragraph" w:styleId="NormalWeb">
    <w:name w:val="Normal (Web)"/>
    <w:basedOn w:val="Normal"/>
    <w:semiHidden/>
    <w:unhideWhenUsed/>
    <w:rsid w:val="00E41A07"/>
    <w:pPr>
      <w:spacing w:before="100" w:beforeAutospacing="1" w:after="100" w:afterAutospacing="1" w:line="336" w:lineRule="auto"/>
    </w:pPr>
    <w:rPr>
      <w:rFonts w:ascii="Tahoma" w:hAnsi="Tahoma" w:cs="Tahoma"/>
      <w:color w:val="000000"/>
      <w:lang w:eastAsia="en-GB"/>
    </w:rPr>
  </w:style>
  <w:style w:type="paragraph" w:styleId="PlainText">
    <w:name w:val="Plain Text"/>
    <w:basedOn w:val="Normal"/>
    <w:link w:val="PlainTextChar"/>
    <w:uiPriority w:val="99"/>
    <w:unhideWhenUsed/>
    <w:rsid w:val="00AD2FF1"/>
    <w:pPr>
      <w:jc w:val="both"/>
    </w:pPr>
    <w:rPr>
      <w:rFonts w:ascii="Consolas" w:eastAsia="Calibri" w:hAnsi="Consolas"/>
      <w:sz w:val="21"/>
      <w:szCs w:val="21"/>
    </w:rPr>
  </w:style>
  <w:style w:type="character" w:customStyle="1" w:styleId="PlainTextChar">
    <w:name w:val="Plain Text Char"/>
    <w:link w:val="PlainText"/>
    <w:uiPriority w:val="99"/>
    <w:rsid w:val="00AD2FF1"/>
    <w:rPr>
      <w:rFonts w:ascii="Consolas" w:eastAsia="Calibri" w:hAnsi="Consolas" w:cs="Times New Roman"/>
      <w:sz w:val="21"/>
      <w:szCs w:val="21"/>
      <w:lang w:eastAsia="en-US"/>
    </w:rPr>
  </w:style>
  <w:style w:type="character" w:customStyle="1" w:styleId="Heading1Char">
    <w:name w:val="Heading 1 Char"/>
    <w:link w:val="Heading1"/>
    <w:uiPriority w:val="9"/>
    <w:rsid w:val="00C162E5"/>
    <w:rPr>
      <w:rFonts w:ascii="Cambria" w:eastAsia="Times New Roman" w:hAnsi="Cambria" w:cs="Times New Roman"/>
      <w:b/>
      <w:bCs/>
      <w:kern w:val="32"/>
      <w:sz w:val="32"/>
      <w:szCs w:val="32"/>
      <w:lang w:eastAsia="en-US"/>
    </w:rPr>
  </w:style>
  <w:style w:type="paragraph" w:styleId="NoSpacing">
    <w:name w:val="No Spacing"/>
    <w:uiPriority w:val="1"/>
    <w:qFormat/>
    <w:rsid w:val="00AF0E5A"/>
    <w:rPr>
      <w:rFonts w:ascii="Calibri" w:eastAsia="Calibri" w:hAnsi="Calibri"/>
      <w:sz w:val="22"/>
      <w:szCs w:val="22"/>
      <w:lang w:eastAsia="en-US"/>
    </w:rPr>
  </w:style>
  <w:style w:type="paragraph" w:styleId="Header">
    <w:name w:val="header"/>
    <w:basedOn w:val="Normal"/>
    <w:link w:val="HeaderChar"/>
    <w:uiPriority w:val="99"/>
    <w:unhideWhenUsed/>
    <w:rsid w:val="003A53D3"/>
    <w:pPr>
      <w:tabs>
        <w:tab w:val="center" w:pos="4513"/>
        <w:tab w:val="right" w:pos="9026"/>
      </w:tabs>
    </w:pPr>
  </w:style>
  <w:style w:type="character" w:customStyle="1" w:styleId="HeaderChar">
    <w:name w:val="Header Char"/>
    <w:basedOn w:val="DefaultParagraphFont"/>
    <w:link w:val="Header"/>
    <w:uiPriority w:val="99"/>
    <w:rsid w:val="003A53D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510">
      <w:bodyDiv w:val="1"/>
      <w:marLeft w:val="0"/>
      <w:marRight w:val="0"/>
      <w:marTop w:val="0"/>
      <w:marBottom w:val="0"/>
      <w:divBdr>
        <w:top w:val="none" w:sz="0" w:space="0" w:color="auto"/>
        <w:left w:val="none" w:sz="0" w:space="0" w:color="auto"/>
        <w:bottom w:val="none" w:sz="0" w:space="0" w:color="auto"/>
        <w:right w:val="none" w:sz="0" w:space="0" w:color="auto"/>
      </w:divBdr>
    </w:div>
    <w:div w:id="723412727">
      <w:bodyDiv w:val="1"/>
      <w:marLeft w:val="0"/>
      <w:marRight w:val="0"/>
      <w:marTop w:val="0"/>
      <w:marBottom w:val="0"/>
      <w:divBdr>
        <w:top w:val="none" w:sz="0" w:space="0" w:color="auto"/>
        <w:left w:val="none" w:sz="0" w:space="0" w:color="auto"/>
        <w:bottom w:val="none" w:sz="0" w:space="0" w:color="auto"/>
        <w:right w:val="none" w:sz="0" w:space="0" w:color="auto"/>
      </w:divBdr>
    </w:div>
    <w:div w:id="959843529">
      <w:bodyDiv w:val="1"/>
      <w:marLeft w:val="0"/>
      <w:marRight w:val="0"/>
      <w:marTop w:val="0"/>
      <w:marBottom w:val="0"/>
      <w:divBdr>
        <w:top w:val="none" w:sz="0" w:space="0" w:color="auto"/>
        <w:left w:val="none" w:sz="0" w:space="0" w:color="auto"/>
        <w:bottom w:val="none" w:sz="0" w:space="0" w:color="auto"/>
        <w:right w:val="none" w:sz="0" w:space="0" w:color="auto"/>
      </w:divBdr>
    </w:div>
    <w:div w:id="1069227703">
      <w:bodyDiv w:val="1"/>
      <w:marLeft w:val="0"/>
      <w:marRight w:val="0"/>
      <w:marTop w:val="0"/>
      <w:marBottom w:val="0"/>
      <w:divBdr>
        <w:top w:val="none" w:sz="0" w:space="0" w:color="auto"/>
        <w:left w:val="none" w:sz="0" w:space="0" w:color="auto"/>
        <w:bottom w:val="none" w:sz="0" w:space="0" w:color="auto"/>
        <w:right w:val="none" w:sz="0" w:space="0" w:color="auto"/>
      </w:divBdr>
    </w:div>
    <w:div w:id="1137801460">
      <w:bodyDiv w:val="1"/>
      <w:marLeft w:val="0"/>
      <w:marRight w:val="0"/>
      <w:marTop w:val="0"/>
      <w:marBottom w:val="0"/>
      <w:divBdr>
        <w:top w:val="none" w:sz="0" w:space="0" w:color="auto"/>
        <w:left w:val="none" w:sz="0" w:space="0" w:color="auto"/>
        <w:bottom w:val="none" w:sz="0" w:space="0" w:color="auto"/>
        <w:right w:val="none" w:sz="0" w:space="0" w:color="auto"/>
      </w:divBdr>
    </w:div>
    <w:div w:id="1246264323">
      <w:bodyDiv w:val="1"/>
      <w:marLeft w:val="0"/>
      <w:marRight w:val="0"/>
      <w:marTop w:val="0"/>
      <w:marBottom w:val="0"/>
      <w:divBdr>
        <w:top w:val="none" w:sz="0" w:space="0" w:color="auto"/>
        <w:left w:val="none" w:sz="0" w:space="0" w:color="auto"/>
        <w:bottom w:val="none" w:sz="0" w:space="0" w:color="auto"/>
        <w:right w:val="none" w:sz="0" w:space="0" w:color="auto"/>
      </w:divBdr>
      <w:divsChild>
        <w:div w:id="1491557244">
          <w:marLeft w:val="0"/>
          <w:marRight w:val="0"/>
          <w:marTop w:val="0"/>
          <w:marBottom w:val="0"/>
          <w:divBdr>
            <w:top w:val="none" w:sz="0" w:space="0" w:color="auto"/>
            <w:left w:val="none" w:sz="0" w:space="0" w:color="auto"/>
            <w:bottom w:val="none" w:sz="0" w:space="0" w:color="auto"/>
            <w:right w:val="none" w:sz="0" w:space="0" w:color="auto"/>
          </w:divBdr>
          <w:divsChild>
            <w:div w:id="938100246">
              <w:marLeft w:val="0"/>
              <w:marRight w:val="0"/>
              <w:marTop w:val="0"/>
              <w:marBottom w:val="0"/>
              <w:divBdr>
                <w:top w:val="none" w:sz="0" w:space="0" w:color="auto"/>
                <w:left w:val="none" w:sz="0" w:space="0" w:color="auto"/>
                <w:bottom w:val="none" w:sz="0" w:space="0" w:color="auto"/>
                <w:right w:val="none" w:sz="0" w:space="0" w:color="auto"/>
              </w:divBdr>
              <w:divsChild>
                <w:div w:id="830099396">
                  <w:marLeft w:val="0"/>
                  <w:marRight w:val="0"/>
                  <w:marTop w:val="0"/>
                  <w:marBottom w:val="0"/>
                  <w:divBdr>
                    <w:top w:val="none" w:sz="0" w:space="0" w:color="auto"/>
                    <w:left w:val="none" w:sz="0" w:space="0" w:color="auto"/>
                    <w:bottom w:val="none" w:sz="0" w:space="0" w:color="auto"/>
                    <w:right w:val="none" w:sz="0" w:space="0" w:color="auto"/>
                  </w:divBdr>
                  <w:divsChild>
                    <w:div w:id="1040667735">
                      <w:marLeft w:val="0"/>
                      <w:marRight w:val="0"/>
                      <w:marTop w:val="0"/>
                      <w:marBottom w:val="0"/>
                      <w:divBdr>
                        <w:top w:val="none" w:sz="0" w:space="0" w:color="auto"/>
                        <w:left w:val="none" w:sz="0" w:space="0" w:color="auto"/>
                        <w:bottom w:val="none" w:sz="0" w:space="0" w:color="auto"/>
                        <w:right w:val="none" w:sz="0" w:space="0" w:color="auto"/>
                      </w:divBdr>
                      <w:divsChild>
                        <w:div w:id="170877423">
                          <w:marLeft w:val="0"/>
                          <w:marRight w:val="0"/>
                          <w:marTop w:val="0"/>
                          <w:marBottom w:val="0"/>
                          <w:divBdr>
                            <w:top w:val="none" w:sz="0" w:space="0" w:color="auto"/>
                            <w:left w:val="none" w:sz="0" w:space="0" w:color="auto"/>
                            <w:bottom w:val="none" w:sz="0" w:space="0" w:color="auto"/>
                            <w:right w:val="none" w:sz="0" w:space="0" w:color="auto"/>
                          </w:divBdr>
                          <w:divsChild>
                            <w:div w:id="1648364648">
                              <w:marLeft w:val="0"/>
                              <w:marRight w:val="0"/>
                              <w:marTop w:val="0"/>
                              <w:marBottom w:val="0"/>
                              <w:divBdr>
                                <w:top w:val="none" w:sz="0" w:space="0" w:color="auto"/>
                                <w:left w:val="none" w:sz="0" w:space="0" w:color="auto"/>
                                <w:bottom w:val="none" w:sz="0" w:space="0" w:color="auto"/>
                                <w:right w:val="none" w:sz="0" w:space="0" w:color="auto"/>
                              </w:divBdr>
                              <w:divsChild>
                                <w:div w:id="2096824539">
                                  <w:marLeft w:val="0"/>
                                  <w:marRight w:val="0"/>
                                  <w:marTop w:val="0"/>
                                  <w:marBottom w:val="0"/>
                                  <w:divBdr>
                                    <w:top w:val="none" w:sz="0" w:space="0" w:color="auto"/>
                                    <w:left w:val="none" w:sz="0" w:space="0" w:color="auto"/>
                                    <w:bottom w:val="none" w:sz="0" w:space="0" w:color="auto"/>
                                    <w:right w:val="none" w:sz="0" w:space="0" w:color="auto"/>
                                  </w:divBdr>
                                </w:div>
                                <w:div w:id="71661798">
                                  <w:marLeft w:val="0"/>
                                  <w:marRight w:val="0"/>
                                  <w:marTop w:val="0"/>
                                  <w:marBottom w:val="0"/>
                                  <w:divBdr>
                                    <w:top w:val="none" w:sz="0" w:space="0" w:color="auto"/>
                                    <w:left w:val="none" w:sz="0" w:space="0" w:color="auto"/>
                                    <w:bottom w:val="none" w:sz="0" w:space="0" w:color="auto"/>
                                    <w:right w:val="none" w:sz="0" w:space="0" w:color="auto"/>
                                  </w:divBdr>
                                </w:div>
                                <w:div w:id="323554136">
                                  <w:marLeft w:val="0"/>
                                  <w:marRight w:val="0"/>
                                  <w:marTop w:val="0"/>
                                  <w:marBottom w:val="0"/>
                                  <w:divBdr>
                                    <w:top w:val="none" w:sz="0" w:space="0" w:color="auto"/>
                                    <w:left w:val="none" w:sz="0" w:space="0" w:color="auto"/>
                                    <w:bottom w:val="none" w:sz="0" w:space="0" w:color="auto"/>
                                    <w:right w:val="none" w:sz="0" w:space="0" w:color="auto"/>
                                  </w:divBdr>
                                </w:div>
                                <w:div w:id="1768579863">
                                  <w:marLeft w:val="0"/>
                                  <w:marRight w:val="0"/>
                                  <w:marTop w:val="0"/>
                                  <w:marBottom w:val="0"/>
                                  <w:divBdr>
                                    <w:top w:val="none" w:sz="0" w:space="0" w:color="auto"/>
                                    <w:left w:val="none" w:sz="0" w:space="0" w:color="auto"/>
                                    <w:bottom w:val="none" w:sz="0" w:space="0" w:color="auto"/>
                                    <w:right w:val="none" w:sz="0" w:space="0" w:color="auto"/>
                                  </w:divBdr>
                                </w:div>
                                <w:div w:id="328750747">
                                  <w:marLeft w:val="0"/>
                                  <w:marRight w:val="0"/>
                                  <w:marTop w:val="0"/>
                                  <w:marBottom w:val="0"/>
                                  <w:divBdr>
                                    <w:top w:val="none" w:sz="0" w:space="0" w:color="auto"/>
                                    <w:left w:val="none" w:sz="0" w:space="0" w:color="auto"/>
                                    <w:bottom w:val="none" w:sz="0" w:space="0" w:color="auto"/>
                                    <w:right w:val="none" w:sz="0" w:space="0" w:color="auto"/>
                                  </w:divBdr>
                                </w:div>
                                <w:div w:id="1426533169">
                                  <w:marLeft w:val="0"/>
                                  <w:marRight w:val="0"/>
                                  <w:marTop w:val="0"/>
                                  <w:marBottom w:val="0"/>
                                  <w:divBdr>
                                    <w:top w:val="none" w:sz="0" w:space="0" w:color="auto"/>
                                    <w:left w:val="none" w:sz="0" w:space="0" w:color="auto"/>
                                    <w:bottom w:val="none" w:sz="0" w:space="0" w:color="auto"/>
                                    <w:right w:val="none" w:sz="0" w:space="0" w:color="auto"/>
                                  </w:divBdr>
                                </w:div>
                                <w:div w:id="1920014664">
                                  <w:marLeft w:val="0"/>
                                  <w:marRight w:val="0"/>
                                  <w:marTop w:val="0"/>
                                  <w:marBottom w:val="0"/>
                                  <w:divBdr>
                                    <w:top w:val="none" w:sz="0" w:space="0" w:color="auto"/>
                                    <w:left w:val="none" w:sz="0" w:space="0" w:color="auto"/>
                                    <w:bottom w:val="none" w:sz="0" w:space="0" w:color="auto"/>
                                    <w:right w:val="none" w:sz="0" w:space="0" w:color="auto"/>
                                  </w:divBdr>
                                </w:div>
                                <w:div w:id="1800029209">
                                  <w:marLeft w:val="0"/>
                                  <w:marRight w:val="0"/>
                                  <w:marTop w:val="0"/>
                                  <w:marBottom w:val="0"/>
                                  <w:divBdr>
                                    <w:top w:val="none" w:sz="0" w:space="0" w:color="auto"/>
                                    <w:left w:val="none" w:sz="0" w:space="0" w:color="auto"/>
                                    <w:bottom w:val="none" w:sz="0" w:space="0" w:color="auto"/>
                                    <w:right w:val="none" w:sz="0" w:space="0" w:color="auto"/>
                                  </w:divBdr>
                                </w:div>
                                <w:div w:id="67382396">
                                  <w:marLeft w:val="0"/>
                                  <w:marRight w:val="0"/>
                                  <w:marTop w:val="0"/>
                                  <w:marBottom w:val="0"/>
                                  <w:divBdr>
                                    <w:top w:val="none" w:sz="0" w:space="0" w:color="auto"/>
                                    <w:left w:val="none" w:sz="0" w:space="0" w:color="auto"/>
                                    <w:bottom w:val="none" w:sz="0" w:space="0" w:color="auto"/>
                                    <w:right w:val="none" w:sz="0" w:space="0" w:color="auto"/>
                                  </w:divBdr>
                                </w:div>
                                <w:div w:id="1653631609">
                                  <w:marLeft w:val="0"/>
                                  <w:marRight w:val="0"/>
                                  <w:marTop w:val="0"/>
                                  <w:marBottom w:val="0"/>
                                  <w:divBdr>
                                    <w:top w:val="none" w:sz="0" w:space="0" w:color="auto"/>
                                    <w:left w:val="none" w:sz="0" w:space="0" w:color="auto"/>
                                    <w:bottom w:val="none" w:sz="0" w:space="0" w:color="auto"/>
                                    <w:right w:val="none" w:sz="0" w:space="0" w:color="auto"/>
                                  </w:divBdr>
                                </w:div>
                                <w:div w:id="246769610">
                                  <w:marLeft w:val="0"/>
                                  <w:marRight w:val="0"/>
                                  <w:marTop w:val="0"/>
                                  <w:marBottom w:val="0"/>
                                  <w:divBdr>
                                    <w:top w:val="none" w:sz="0" w:space="0" w:color="auto"/>
                                    <w:left w:val="none" w:sz="0" w:space="0" w:color="auto"/>
                                    <w:bottom w:val="none" w:sz="0" w:space="0" w:color="auto"/>
                                    <w:right w:val="none" w:sz="0" w:space="0" w:color="auto"/>
                                  </w:divBdr>
                                </w:div>
                                <w:div w:id="5232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92416">
      <w:bodyDiv w:val="1"/>
      <w:marLeft w:val="0"/>
      <w:marRight w:val="0"/>
      <w:marTop w:val="0"/>
      <w:marBottom w:val="0"/>
      <w:divBdr>
        <w:top w:val="none" w:sz="0" w:space="0" w:color="auto"/>
        <w:left w:val="none" w:sz="0" w:space="0" w:color="auto"/>
        <w:bottom w:val="none" w:sz="0" w:space="0" w:color="auto"/>
        <w:right w:val="none" w:sz="0" w:space="0" w:color="auto"/>
      </w:divBdr>
    </w:div>
    <w:div w:id="1334643836">
      <w:bodyDiv w:val="1"/>
      <w:marLeft w:val="0"/>
      <w:marRight w:val="0"/>
      <w:marTop w:val="0"/>
      <w:marBottom w:val="0"/>
      <w:divBdr>
        <w:top w:val="none" w:sz="0" w:space="0" w:color="auto"/>
        <w:left w:val="none" w:sz="0" w:space="0" w:color="auto"/>
        <w:bottom w:val="none" w:sz="0" w:space="0" w:color="auto"/>
        <w:right w:val="none" w:sz="0" w:space="0" w:color="auto"/>
      </w:divBdr>
    </w:div>
    <w:div w:id="1401563671">
      <w:bodyDiv w:val="1"/>
      <w:marLeft w:val="0"/>
      <w:marRight w:val="0"/>
      <w:marTop w:val="0"/>
      <w:marBottom w:val="0"/>
      <w:divBdr>
        <w:top w:val="none" w:sz="0" w:space="0" w:color="auto"/>
        <w:left w:val="none" w:sz="0" w:space="0" w:color="auto"/>
        <w:bottom w:val="none" w:sz="0" w:space="0" w:color="auto"/>
        <w:right w:val="none" w:sz="0" w:space="0" w:color="auto"/>
      </w:divBdr>
    </w:div>
    <w:div w:id="1672755961">
      <w:bodyDiv w:val="1"/>
      <w:marLeft w:val="0"/>
      <w:marRight w:val="0"/>
      <w:marTop w:val="0"/>
      <w:marBottom w:val="0"/>
      <w:divBdr>
        <w:top w:val="none" w:sz="0" w:space="0" w:color="auto"/>
        <w:left w:val="none" w:sz="0" w:space="0" w:color="auto"/>
        <w:bottom w:val="none" w:sz="0" w:space="0" w:color="auto"/>
        <w:right w:val="none" w:sz="0" w:space="0" w:color="auto"/>
      </w:divBdr>
    </w:div>
    <w:div w:id="1849715083">
      <w:bodyDiv w:val="1"/>
      <w:marLeft w:val="0"/>
      <w:marRight w:val="0"/>
      <w:marTop w:val="0"/>
      <w:marBottom w:val="0"/>
      <w:divBdr>
        <w:top w:val="none" w:sz="0" w:space="0" w:color="auto"/>
        <w:left w:val="none" w:sz="0" w:space="0" w:color="auto"/>
        <w:bottom w:val="none" w:sz="0" w:space="0" w:color="auto"/>
        <w:right w:val="none" w:sz="0" w:space="0" w:color="auto"/>
      </w:divBdr>
    </w:div>
    <w:div w:id="20815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ta.org.uk/uploads/8/3/7/1/83716138/wta_response_wg_2nd_homes_consultation_300921.docx" TargetMode="External"/><Relationship Id="R3f7097f384cf46f2"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wta.org.uk/uploads/8/3/7/1/83716138/wta_open_letter_0302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50CB3-A7BA-422E-972D-3083B0FE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2022-03-28T08:22:00Z</dcterms:created>
  <dcterms:modified xsi:type="dcterms:W3CDTF">2022-03-28T08:27:00Z</dcterms:modified>
</cp:coreProperties>
</file>